
<file path=[Content_Types].xml><?xml version="1.0" encoding="utf-8"?>
<Types xmlns="http://schemas.openxmlformats.org/package/2006/content-types">
  <Default Extension="xlsx" ContentType="application/vnd.openxmlformats-officedocument.spreadsheetml.shee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Extensions/webExtension1.xml" ContentType="application/vnd.wps-officedocument.webExtension+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20" w:lineRule="exact"/>
        <w:ind w:left="0" w:right="0" w:rightChars="0" w:firstLine="0" w:firstLineChars="0"/>
        <w:jc w:val="center"/>
        <w:textAlignment w:val="auto"/>
        <w:rPr>
          <w:rFonts w:hint="eastAsia" w:ascii="方正小标宋简体" w:hAnsi="方正小标宋简体" w:eastAsia="方正小标宋简体" w:cs="方正小标宋简体"/>
          <w:color w:val="333333"/>
          <w:sz w:val="44"/>
          <w:szCs w:val="44"/>
          <w:shd w:val="clear" w:color="auto" w:fill="FFFFFF"/>
          <w:lang w:val="en-US" w:eastAsia="zh-CN"/>
        </w:rPr>
      </w:pPr>
      <w:r>
        <w:rPr>
          <w:rFonts w:hint="eastAsia" w:ascii="方正小标宋简体" w:hAnsi="方正小标宋简体" w:eastAsia="方正小标宋简体" w:cs="方正小标宋简体"/>
          <w:color w:val="333333"/>
          <w:sz w:val="44"/>
          <w:szCs w:val="44"/>
          <w:shd w:val="clear" w:color="auto" w:fill="FFFFFF"/>
          <w:lang w:val="en-US" w:eastAsia="zh-CN"/>
        </w:rPr>
        <w:t>聊城市人力资源和社会保障局</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20" w:lineRule="exact"/>
        <w:ind w:left="0" w:right="0" w:rightChars="0" w:firstLine="0" w:firstLineChars="0"/>
        <w:jc w:val="center"/>
        <w:textAlignment w:val="auto"/>
        <w:rPr>
          <w:rFonts w:hint="eastAsia" w:ascii="方正小标宋简体" w:hAnsi="方正小标宋简体" w:eastAsia="方正小标宋简体" w:cs="方正小标宋简体"/>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lang w:eastAsia="zh-CN"/>
        </w:rPr>
        <w:t>202</w:t>
      </w:r>
      <w:r>
        <w:rPr>
          <w:rFonts w:hint="eastAsia" w:ascii="方正小标宋简体" w:hAnsi="方正小标宋简体" w:eastAsia="方正小标宋简体" w:cs="方正小标宋简体"/>
          <w:color w:val="333333"/>
          <w:sz w:val="44"/>
          <w:szCs w:val="44"/>
          <w:shd w:val="clear" w:color="auto" w:fill="FFFFFF"/>
          <w:lang w:val="en-US" w:eastAsia="zh-CN"/>
        </w:rPr>
        <w:t>2</w:t>
      </w:r>
      <w:r>
        <w:rPr>
          <w:rFonts w:hint="eastAsia" w:ascii="方正小标宋简体" w:hAnsi="方正小标宋简体" w:eastAsia="方正小标宋简体" w:cs="方正小标宋简体"/>
          <w:color w:val="333333"/>
          <w:sz w:val="44"/>
          <w:szCs w:val="44"/>
          <w:shd w:val="clear" w:color="auto" w:fill="FFFFFF"/>
        </w:rPr>
        <w:t>年政府信息公开工作年度报告</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240" w:lineRule="auto"/>
        <w:ind w:left="0" w:right="0" w:rightChars="0" w:firstLine="800" w:firstLineChars="200"/>
        <w:jc w:val="center"/>
        <w:textAlignment w:val="auto"/>
        <w:rPr>
          <w:rFonts w:hint="eastAsia" w:ascii="方正小标宋简体" w:hAnsi="方正小标宋简体" w:eastAsia="方正小标宋简体" w:cs="方正小标宋简体"/>
          <w:color w:val="333333"/>
          <w:sz w:val="40"/>
          <w:szCs w:val="40"/>
          <w:shd w:val="clear" w:color="auto" w:fill="FFFFFF"/>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仿宋_GB2312" w:hAnsi="宋体" w:eastAsia="仿宋_GB2312" w:cs="宋体"/>
          <w:color w:val="333333"/>
          <w:sz w:val="32"/>
          <w:szCs w:val="32"/>
          <w:shd w:val="clear" w:color="auto" w:fill="FFFFFF"/>
        </w:rPr>
      </w:pPr>
      <w:bookmarkStart w:id="10" w:name="_GoBack"/>
      <w:r>
        <w:rPr>
          <w:rFonts w:hint="default" w:ascii="仿宋_GB2312" w:hAnsi="宋体" w:eastAsia="仿宋_GB2312" w:cs="宋体"/>
          <w:color w:val="333333"/>
          <w:sz w:val="32"/>
          <w:szCs w:val="32"/>
          <w:shd w:val="clear" w:color="auto" w:fill="FFFFFF"/>
        </w:rPr>
        <w:t>本报告根据《中华人民共和国政府信息公开条例》(以下简称《条例》)要求，结合20</w:t>
      </w:r>
      <w:r>
        <w:rPr>
          <w:rFonts w:hint="eastAsia" w:ascii="仿宋_GB2312" w:hAnsi="宋体" w:eastAsia="仿宋_GB2312" w:cs="宋体"/>
          <w:color w:val="333333"/>
          <w:sz w:val="32"/>
          <w:szCs w:val="32"/>
          <w:shd w:val="clear" w:color="auto" w:fill="FFFFFF"/>
          <w:lang w:val="en-US" w:eastAsia="zh-CN"/>
        </w:rPr>
        <w:t>22</w:t>
      </w:r>
      <w:r>
        <w:rPr>
          <w:rFonts w:hint="default" w:ascii="仿宋_GB2312" w:hAnsi="宋体" w:eastAsia="仿宋_GB2312" w:cs="宋体"/>
          <w:color w:val="333333"/>
          <w:sz w:val="32"/>
          <w:szCs w:val="32"/>
          <w:shd w:val="clear" w:color="auto" w:fill="FFFFFF"/>
        </w:rPr>
        <w:t>年聊城市</w:t>
      </w:r>
      <w:r>
        <w:rPr>
          <w:rFonts w:hint="eastAsia" w:ascii="仿宋_GB2312" w:hAnsi="宋体" w:eastAsia="仿宋_GB2312" w:cs="宋体"/>
          <w:color w:val="333333"/>
          <w:sz w:val="32"/>
          <w:szCs w:val="32"/>
          <w:shd w:val="clear" w:color="auto" w:fill="FFFFFF"/>
          <w:lang w:val="en-US" w:eastAsia="zh-CN"/>
        </w:rPr>
        <w:t>人力资源和社会保障局</w:t>
      </w:r>
      <w:r>
        <w:rPr>
          <w:rFonts w:hint="default" w:ascii="仿宋_GB2312" w:hAnsi="宋体" w:eastAsia="仿宋_GB2312" w:cs="宋体"/>
          <w:color w:val="333333"/>
          <w:sz w:val="32"/>
          <w:szCs w:val="32"/>
          <w:shd w:val="clear" w:color="auto" w:fill="FFFFFF"/>
        </w:rPr>
        <w:t>政府信息公开工作实际，编制发布本报告。</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宋体" w:eastAsia="仿宋_GB2312" w:cs="宋体"/>
          <w:color w:val="333333"/>
          <w:sz w:val="32"/>
          <w:szCs w:val="32"/>
          <w:shd w:val="clear" w:color="auto" w:fill="FFFFFF"/>
        </w:rPr>
      </w:pPr>
      <w:r>
        <w:rPr>
          <w:rFonts w:hint="eastAsia" w:ascii="仿宋_GB2312" w:hAnsi="宋体" w:eastAsia="仿宋_GB2312" w:cs="宋体"/>
          <w:color w:val="333333"/>
          <w:sz w:val="32"/>
          <w:szCs w:val="32"/>
          <w:shd w:val="clear" w:color="auto" w:fill="FFFFFF"/>
        </w:rPr>
        <w:t>本报告内容包括总体情况、主动公开政府信息情况、依申请公开政府信息情况、政府信息公开行政复议和行政诉讼情况、存在的主要问题及改进情况，以及相关统计附表等。本</w:t>
      </w:r>
      <w:r>
        <w:rPr>
          <w:rFonts w:hint="eastAsia" w:ascii="仿宋_GB2312" w:hAnsi="宋体" w:eastAsia="仿宋_GB2312" w:cs="宋体"/>
          <w:color w:val="333333"/>
          <w:sz w:val="32"/>
          <w:szCs w:val="32"/>
          <w:shd w:val="clear" w:color="auto" w:fill="FFFFFF"/>
          <w:lang w:val="en-US" w:eastAsia="zh-CN"/>
        </w:rPr>
        <w:t>年度</w:t>
      </w:r>
      <w:r>
        <w:rPr>
          <w:rFonts w:hint="eastAsia" w:ascii="仿宋_GB2312" w:hAnsi="宋体" w:eastAsia="仿宋_GB2312" w:cs="宋体"/>
          <w:color w:val="333333"/>
          <w:sz w:val="32"/>
          <w:szCs w:val="32"/>
          <w:shd w:val="clear" w:color="auto" w:fill="FFFFFF"/>
        </w:rPr>
        <w:t>报告中所列数据统计期限自20</w:t>
      </w:r>
      <w:r>
        <w:rPr>
          <w:rFonts w:hint="eastAsia" w:ascii="仿宋_GB2312" w:hAnsi="宋体" w:eastAsia="仿宋_GB2312" w:cs="宋体"/>
          <w:color w:val="333333"/>
          <w:sz w:val="32"/>
          <w:szCs w:val="32"/>
          <w:shd w:val="clear" w:color="auto" w:fill="FFFFFF"/>
          <w:lang w:val="en-US" w:eastAsia="zh-CN"/>
        </w:rPr>
        <w:t>22</w:t>
      </w:r>
      <w:r>
        <w:rPr>
          <w:rFonts w:hint="eastAsia" w:ascii="仿宋_GB2312" w:hAnsi="宋体" w:eastAsia="仿宋_GB2312" w:cs="宋体"/>
          <w:color w:val="333333"/>
          <w:sz w:val="32"/>
          <w:szCs w:val="32"/>
          <w:shd w:val="clear" w:color="auto" w:fill="FFFFFF"/>
        </w:rPr>
        <w:t>年1月1日起，至20</w:t>
      </w:r>
      <w:r>
        <w:rPr>
          <w:rFonts w:hint="eastAsia" w:ascii="仿宋_GB2312" w:hAnsi="宋体" w:eastAsia="仿宋_GB2312" w:cs="宋体"/>
          <w:color w:val="333333"/>
          <w:sz w:val="32"/>
          <w:szCs w:val="32"/>
          <w:shd w:val="clear" w:color="auto" w:fill="FFFFFF"/>
          <w:lang w:val="en-US" w:eastAsia="zh-CN"/>
        </w:rPr>
        <w:t>22</w:t>
      </w:r>
      <w:r>
        <w:rPr>
          <w:rFonts w:hint="eastAsia" w:ascii="仿宋_GB2312" w:hAnsi="宋体" w:eastAsia="仿宋_GB2312" w:cs="宋体"/>
          <w:color w:val="333333"/>
          <w:sz w:val="32"/>
          <w:szCs w:val="32"/>
          <w:shd w:val="clear" w:color="auto" w:fill="FFFFFF"/>
        </w:rPr>
        <w:t>年12月31日止。本年度报告可在“聊城市</w:t>
      </w:r>
      <w:r>
        <w:rPr>
          <w:rFonts w:hint="eastAsia" w:ascii="仿宋_GB2312" w:hAnsi="宋体" w:eastAsia="仿宋_GB2312" w:cs="宋体"/>
          <w:color w:val="333333"/>
          <w:sz w:val="32"/>
          <w:szCs w:val="32"/>
          <w:shd w:val="clear" w:color="auto" w:fill="FFFFFF"/>
          <w:lang w:val="en-US" w:eastAsia="zh-CN"/>
        </w:rPr>
        <w:t>人力资源和社会保障局</w:t>
      </w:r>
      <w:r>
        <w:rPr>
          <w:rFonts w:hint="eastAsia" w:ascii="仿宋_GB2312" w:hAnsi="宋体" w:eastAsia="仿宋_GB2312" w:cs="宋体"/>
          <w:color w:val="333333"/>
          <w:sz w:val="32"/>
          <w:szCs w:val="32"/>
          <w:shd w:val="clear" w:color="auto" w:fill="FFFFFF"/>
        </w:rPr>
        <w:t>”门户网站（http://rsj.liaocheng.gov.cn/）的政府信息公开专栏中查看和下载。</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auto"/>
          <w:spacing w:val="0"/>
          <w:sz w:val="32"/>
          <w:szCs w:val="32"/>
          <w:shd w:val="clear" w:fill="FFFFFF"/>
          <w:vertAlign w:val="baseline"/>
        </w:rPr>
        <w:t>一、总体情况</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宋体" w:eastAsia="仿宋_GB2312" w:cs="宋体"/>
          <w:color w:val="333333"/>
          <w:sz w:val="32"/>
          <w:szCs w:val="32"/>
          <w:shd w:val="clear" w:color="auto" w:fill="FFFFFF"/>
        </w:rPr>
      </w:pPr>
      <w:r>
        <w:rPr>
          <w:rFonts w:hint="eastAsia" w:ascii="仿宋_GB2312" w:hAnsi="宋体" w:eastAsia="仿宋_GB2312" w:cs="宋体"/>
          <w:color w:val="333333"/>
          <w:sz w:val="32"/>
          <w:szCs w:val="32"/>
          <w:shd w:val="clear" w:color="auto" w:fill="FFFFFF"/>
          <w:lang w:eastAsia="zh-CN"/>
        </w:rPr>
        <w:t>2022年，市人力资源和社会保障局以习近平新时代中国特色社会主义思想为指导，全面贯彻党的</w:t>
      </w:r>
      <w:r>
        <w:rPr>
          <w:rFonts w:hint="eastAsia" w:ascii="仿宋_GB2312" w:hAnsi="宋体" w:eastAsia="仿宋_GB2312" w:cs="宋体"/>
          <w:color w:val="333333"/>
          <w:sz w:val="32"/>
          <w:szCs w:val="32"/>
          <w:shd w:val="clear" w:color="auto" w:fill="FFFFFF"/>
          <w:lang w:val="en-US" w:eastAsia="zh-CN"/>
        </w:rPr>
        <w:t>二十大</w:t>
      </w:r>
      <w:r>
        <w:rPr>
          <w:rFonts w:hint="eastAsia" w:ascii="仿宋_GB2312" w:hAnsi="宋体" w:eastAsia="仿宋_GB2312" w:cs="宋体"/>
          <w:color w:val="333333"/>
          <w:sz w:val="32"/>
          <w:szCs w:val="32"/>
          <w:shd w:val="clear" w:color="auto" w:fill="FFFFFF"/>
          <w:lang w:eastAsia="zh-CN"/>
        </w:rPr>
        <w:t>精神，深入落实</w:t>
      </w:r>
      <w:r>
        <w:rPr>
          <w:rFonts w:hint="eastAsia" w:ascii="仿宋_GB2312" w:hAnsi="宋体" w:eastAsia="仿宋_GB2312" w:cs="宋体"/>
          <w:color w:val="333333"/>
          <w:sz w:val="32"/>
          <w:szCs w:val="32"/>
          <w:shd w:val="clear" w:color="auto" w:fill="FFFFFF"/>
          <w:lang w:val="en-US" w:eastAsia="zh-CN"/>
        </w:rPr>
        <w:t>市</w:t>
      </w:r>
      <w:r>
        <w:rPr>
          <w:rFonts w:hint="eastAsia" w:ascii="仿宋_GB2312" w:hAnsi="宋体" w:eastAsia="仿宋_GB2312" w:cs="宋体"/>
          <w:color w:val="333333"/>
          <w:sz w:val="32"/>
          <w:szCs w:val="32"/>
          <w:shd w:val="clear" w:color="auto" w:fill="FFFFFF"/>
          <w:lang w:eastAsia="zh-CN"/>
        </w:rPr>
        <w:t>委、</w:t>
      </w:r>
      <w:r>
        <w:rPr>
          <w:rFonts w:hint="eastAsia" w:ascii="仿宋_GB2312" w:hAnsi="宋体" w:eastAsia="仿宋_GB2312" w:cs="宋体"/>
          <w:color w:val="333333"/>
          <w:sz w:val="32"/>
          <w:szCs w:val="32"/>
          <w:shd w:val="clear" w:color="auto" w:fill="FFFFFF"/>
          <w:lang w:val="en-US" w:eastAsia="zh-CN"/>
        </w:rPr>
        <w:t>市</w:t>
      </w:r>
      <w:r>
        <w:rPr>
          <w:rFonts w:hint="eastAsia" w:ascii="仿宋_GB2312" w:hAnsi="宋体" w:eastAsia="仿宋_GB2312" w:cs="宋体"/>
          <w:color w:val="333333"/>
          <w:sz w:val="32"/>
          <w:szCs w:val="32"/>
          <w:shd w:val="clear" w:color="auto" w:fill="FFFFFF"/>
          <w:lang w:eastAsia="zh-CN"/>
        </w:rPr>
        <w:t>政府决策部署，</w:t>
      </w:r>
      <w:r>
        <w:rPr>
          <w:rFonts w:hint="eastAsia" w:ascii="仿宋_GB2312" w:hAnsi="宋体" w:eastAsia="仿宋_GB2312" w:cs="宋体"/>
          <w:color w:val="333333"/>
          <w:sz w:val="32"/>
          <w:szCs w:val="32"/>
          <w:shd w:val="clear" w:color="auto" w:fill="FFFFFF"/>
          <w:lang w:val="en-US" w:eastAsia="zh-CN"/>
        </w:rPr>
        <w:t>结合</w:t>
      </w:r>
      <w:r>
        <w:rPr>
          <w:rFonts w:hint="eastAsia" w:ascii="仿宋_GB2312" w:hAnsi="宋体" w:eastAsia="仿宋_GB2312" w:cs="宋体"/>
          <w:color w:val="333333"/>
          <w:sz w:val="32"/>
          <w:szCs w:val="32"/>
          <w:shd w:val="clear" w:color="auto" w:fill="FFFFFF"/>
        </w:rPr>
        <w:t>全市人力资源社会保障</w:t>
      </w:r>
      <w:r>
        <w:rPr>
          <w:rFonts w:hint="eastAsia" w:ascii="仿宋_GB2312" w:hAnsi="宋体" w:eastAsia="仿宋_GB2312" w:cs="宋体"/>
          <w:color w:val="333333"/>
          <w:sz w:val="32"/>
          <w:szCs w:val="32"/>
          <w:shd w:val="clear" w:color="auto" w:fill="FFFFFF"/>
          <w:lang w:val="en-US" w:eastAsia="zh-CN"/>
        </w:rPr>
        <w:t>工作实际</w:t>
      </w:r>
      <w:r>
        <w:rPr>
          <w:rFonts w:hint="eastAsia" w:ascii="仿宋_GB2312" w:hAnsi="宋体" w:eastAsia="仿宋_GB2312" w:cs="宋体"/>
          <w:color w:val="333333"/>
          <w:sz w:val="32"/>
          <w:szCs w:val="32"/>
          <w:shd w:val="clear" w:color="auto" w:fill="FFFFFF"/>
          <w:lang w:eastAsia="zh-CN"/>
        </w:rPr>
        <w:t>，</w:t>
      </w:r>
      <w:r>
        <w:rPr>
          <w:rFonts w:hint="eastAsia" w:ascii="仿宋_GB2312" w:hAnsi="宋体" w:eastAsia="仿宋_GB2312" w:cs="宋体"/>
          <w:color w:val="333333"/>
          <w:sz w:val="32"/>
          <w:szCs w:val="32"/>
          <w:shd w:val="clear" w:color="auto" w:fill="FFFFFF"/>
        </w:rPr>
        <w:t>充分发挥以公开促落实、促规范、促服务作用，</w:t>
      </w:r>
      <w:r>
        <w:rPr>
          <w:rFonts w:hint="eastAsia" w:ascii="仿宋_GB2312" w:hAnsi="宋体" w:eastAsia="仿宋_GB2312" w:cs="宋体"/>
          <w:color w:val="333333"/>
          <w:sz w:val="32"/>
          <w:szCs w:val="32"/>
          <w:shd w:val="clear" w:color="auto" w:fill="FFFFFF"/>
          <w:lang w:eastAsia="zh-CN"/>
        </w:rPr>
        <w:t>政务公开质效进一步提升。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楷体_GB2312" w:hAnsi="楷体_GB2312" w:eastAsia="楷体_GB2312" w:cs="楷体_GB2312"/>
          <w:i w:val="0"/>
          <w:iCs w:val="0"/>
          <w:caps w:val="0"/>
          <w:color w:val="auto"/>
          <w:spacing w:val="0"/>
          <w:sz w:val="32"/>
          <w:szCs w:val="32"/>
          <w:shd w:val="clear" w:fill="FFFFFF"/>
          <w:vertAlign w:val="baseline"/>
        </w:rPr>
      </w:pPr>
      <w:r>
        <w:rPr>
          <w:rFonts w:hint="eastAsia" w:ascii="楷体_GB2312" w:hAnsi="楷体_GB2312" w:eastAsia="楷体_GB2312" w:cs="楷体_GB2312"/>
          <w:i w:val="0"/>
          <w:iCs w:val="0"/>
          <w:caps w:val="0"/>
          <w:color w:val="auto"/>
          <w:spacing w:val="0"/>
          <w:sz w:val="32"/>
          <w:szCs w:val="32"/>
          <w:shd w:val="clear" w:fill="FFFFFF"/>
          <w:vertAlign w:val="baseline"/>
        </w:rPr>
        <w:t>（一）</w:t>
      </w:r>
      <w:r>
        <w:rPr>
          <w:rFonts w:hint="eastAsia" w:ascii="楷体_GB2312" w:hAnsi="楷体_GB2312" w:eastAsia="楷体_GB2312" w:cs="楷体_GB2312"/>
          <w:i w:val="0"/>
          <w:iCs w:val="0"/>
          <w:caps w:val="0"/>
          <w:color w:val="auto"/>
          <w:spacing w:val="0"/>
          <w:sz w:val="32"/>
          <w:szCs w:val="32"/>
          <w:shd w:val="clear" w:fill="FFFFFF"/>
          <w:vertAlign w:val="baseline"/>
          <w:lang w:val="en-US" w:eastAsia="zh-CN"/>
        </w:rPr>
        <w:t>拓宽</w:t>
      </w:r>
      <w:r>
        <w:rPr>
          <w:rFonts w:hint="eastAsia" w:ascii="楷体_GB2312" w:hAnsi="楷体_GB2312" w:eastAsia="楷体_GB2312" w:cs="楷体_GB2312"/>
          <w:i w:val="0"/>
          <w:iCs w:val="0"/>
          <w:caps w:val="0"/>
          <w:color w:val="auto"/>
          <w:spacing w:val="0"/>
          <w:sz w:val="32"/>
          <w:szCs w:val="32"/>
          <w:shd w:val="clear" w:fill="FFFFFF"/>
          <w:vertAlign w:val="baseline"/>
        </w:rPr>
        <w:t>主动</w:t>
      </w:r>
      <w:r>
        <w:rPr>
          <w:rFonts w:hint="eastAsia" w:ascii="楷体_GB2312" w:hAnsi="楷体_GB2312" w:eastAsia="楷体_GB2312" w:cs="楷体_GB2312"/>
          <w:i w:val="0"/>
          <w:iCs w:val="0"/>
          <w:caps w:val="0"/>
          <w:color w:val="auto"/>
          <w:spacing w:val="0"/>
          <w:sz w:val="32"/>
          <w:szCs w:val="32"/>
          <w:shd w:val="clear" w:fill="FFFFFF"/>
          <w:vertAlign w:val="baseline"/>
          <w:lang w:val="en-US" w:eastAsia="zh-CN"/>
        </w:rPr>
        <w:t>公开渠道</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宋体" w:eastAsia="仿宋_GB2312" w:cs="宋体"/>
          <w:color w:val="333333"/>
          <w:sz w:val="32"/>
          <w:szCs w:val="32"/>
          <w:shd w:val="clear" w:color="auto" w:fill="FFFFFF"/>
          <w:lang w:val="en-US" w:eastAsia="zh-CN"/>
        </w:rPr>
      </w:pPr>
      <w:r>
        <w:rPr>
          <w:rFonts w:hint="default" w:ascii="仿宋_GB2312" w:hAnsi="宋体" w:eastAsia="仿宋_GB2312" w:cs="宋体"/>
          <w:color w:val="333333"/>
          <w:sz w:val="32"/>
          <w:szCs w:val="32"/>
          <w:shd w:val="clear" w:color="auto" w:fill="FFFFFF"/>
          <w:lang w:eastAsia="zh-CN"/>
        </w:rPr>
        <w:t>2022</w:t>
      </w:r>
      <w:r>
        <w:rPr>
          <w:rFonts w:hint="eastAsia" w:ascii="仿宋_GB2312" w:hAnsi="宋体" w:eastAsia="仿宋_GB2312" w:cs="宋体"/>
          <w:color w:val="333333"/>
          <w:sz w:val="32"/>
          <w:szCs w:val="32"/>
          <w:shd w:val="clear" w:color="auto" w:fill="FFFFFF"/>
          <w:lang w:eastAsia="zh-CN"/>
        </w:rPr>
        <w:t>年，我局</w:t>
      </w:r>
      <w:r>
        <w:rPr>
          <w:rFonts w:hint="eastAsia" w:ascii="仿宋_GB2312" w:hAnsi="宋体" w:eastAsia="仿宋_GB2312" w:cs="宋体"/>
          <w:color w:val="333333"/>
          <w:sz w:val="32"/>
          <w:szCs w:val="32"/>
          <w:shd w:val="clear" w:color="auto" w:fill="FFFFFF"/>
          <w:lang w:val="en-US" w:eastAsia="zh-CN"/>
        </w:rPr>
        <w:t>共主动公开各类信息1007条。其中，政府政务公开平台</w:t>
      </w:r>
      <w:r>
        <w:rPr>
          <w:rFonts w:hint="eastAsia" w:ascii="仿宋_GB2312" w:hAnsi="宋体" w:eastAsia="仿宋_GB2312" w:cs="宋体"/>
          <w:color w:val="333333"/>
          <w:sz w:val="32"/>
          <w:szCs w:val="32"/>
          <w:shd w:val="clear" w:color="auto" w:fill="FFFFFF"/>
          <w:lang w:eastAsia="zh-CN"/>
        </w:rPr>
        <w:t>公开</w:t>
      </w:r>
      <w:r>
        <w:rPr>
          <w:rFonts w:hint="eastAsia" w:ascii="仿宋_GB2312" w:hAnsi="宋体" w:eastAsia="仿宋_GB2312" w:cs="宋体"/>
          <w:color w:val="333333"/>
          <w:sz w:val="32"/>
          <w:szCs w:val="32"/>
          <w:shd w:val="clear" w:color="auto" w:fill="FFFFFF"/>
          <w:lang w:val="en-US" w:eastAsia="zh-CN"/>
        </w:rPr>
        <w:t>发布</w:t>
      </w:r>
      <w:r>
        <w:rPr>
          <w:rFonts w:hint="eastAsia" w:ascii="仿宋_GB2312" w:hAnsi="宋体" w:eastAsia="仿宋_GB2312" w:cs="宋体"/>
          <w:color w:val="333333"/>
          <w:sz w:val="32"/>
          <w:szCs w:val="32"/>
          <w:shd w:val="clear" w:color="auto" w:fill="FFFFFF"/>
          <w:lang w:eastAsia="zh-CN"/>
        </w:rPr>
        <w:t>信息</w:t>
      </w:r>
      <w:r>
        <w:rPr>
          <w:rFonts w:hint="eastAsia" w:ascii="仿宋_GB2312" w:hAnsi="宋体" w:eastAsia="仿宋_GB2312" w:cs="宋体"/>
          <w:color w:val="333333"/>
          <w:sz w:val="32"/>
          <w:szCs w:val="32"/>
          <w:shd w:val="clear" w:color="auto" w:fill="FFFFFF"/>
          <w:lang w:val="en-US" w:eastAsia="zh-CN"/>
        </w:rPr>
        <w:t>368</w:t>
      </w:r>
      <w:r>
        <w:rPr>
          <w:rFonts w:hint="eastAsia" w:ascii="仿宋_GB2312" w:hAnsi="宋体" w:eastAsia="仿宋_GB2312" w:cs="宋体"/>
          <w:color w:val="333333"/>
          <w:sz w:val="32"/>
          <w:szCs w:val="32"/>
          <w:shd w:val="clear" w:color="auto" w:fill="FFFFFF"/>
          <w:lang w:eastAsia="zh-CN"/>
        </w:rPr>
        <w:t>条</w:t>
      </w:r>
      <w:r>
        <w:rPr>
          <w:rFonts w:hint="eastAsia" w:ascii="仿宋_GB2312" w:hAnsi="宋体" w:eastAsia="仿宋_GB2312" w:cs="宋体"/>
          <w:color w:val="333333"/>
          <w:sz w:val="32"/>
          <w:szCs w:val="32"/>
          <w:shd w:val="clear" w:color="auto" w:fill="FFFFFF"/>
          <w:lang w:val="en-US" w:eastAsia="zh-CN"/>
        </w:rPr>
        <w:t>，局门户</w:t>
      </w:r>
      <w:r>
        <w:rPr>
          <w:rFonts w:hint="eastAsia" w:ascii="仿宋_GB2312" w:hAnsi="宋体" w:eastAsia="仿宋_GB2312" w:cs="宋体"/>
          <w:color w:val="333333"/>
          <w:sz w:val="32"/>
          <w:szCs w:val="32"/>
          <w:shd w:val="clear" w:color="auto" w:fill="FFFFFF"/>
          <w:lang w:eastAsia="zh-CN"/>
        </w:rPr>
        <w:t>网站</w:t>
      </w:r>
      <w:r>
        <w:rPr>
          <w:rFonts w:hint="eastAsia" w:ascii="仿宋_GB2312" w:hAnsi="宋体" w:eastAsia="仿宋_GB2312" w:cs="宋体"/>
          <w:color w:val="333333"/>
          <w:sz w:val="32"/>
          <w:szCs w:val="32"/>
          <w:shd w:val="clear" w:color="auto" w:fill="FFFFFF"/>
          <w:lang w:val="en-US" w:eastAsia="zh-CN"/>
        </w:rPr>
        <w:t>公开发布信息453</w:t>
      </w:r>
      <w:r>
        <w:rPr>
          <w:rFonts w:hint="eastAsia" w:ascii="仿宋_GB2312" w:hAnsi="宋体" w:eastAsia="仿宋_GB2312" w:cs="宋体"/>
          <w:color w:val="333333"/>
          <w:sz w:val="32"/>
          <w:szCs w:val="32"/>
          <w:shd w:val="clear" w:color="auto" w:fill="FFFFFF"/>
          <w:lang w:eastAsia="zh-CN"/>
        </w:rPr>
        <w:t>条，政务新媒体（</w:t>
      </w:r>
      <w:r>
        <w:rPr>
          <w:rFonts w:hint="eastAsia" w:ascii="仿宋_GB2312" w:hAnsi="宋体" w:eastAsia="仿宋_GB2312" w:cs="宋体"/>
          <w:color w:val="333333"/>
          <w:sz w:val="32"/>
          <w:szCs w:val="32"/>
          <w:shd w:val="clear" w:color="auto" w:fill="FFFFFF"/>
          <w:lang w:val="en-US" w:eastAsia="zh-CN"/>
        </w:rPr>
        <w:t>微信公众号：</w:t>
      </w:r>
      <w:r>
        <w:rPr>
          <w:rFonts w:hint="eastAsia" w:ascii="仿宋_GB2312" w:hAnsi="宋体" w:eastAsia="仿宋_GB2312" w:cs="宋体"/>
          <w:color w:val="333333"/>
          <w:sz w:val="32"/>
          <w:szCs w:val="32"/>
          <w:shd w:val="clear" w:color="auto" w:fill="FFFFFF"/>
          <w:lang w:eastAsia="zh-CN"/>
        </w:rPr>
        <w:t>聊城人社）</w:t>
      </w:r>
      <w:r>
        <w:rPr>
          <w:rFonts w:hint="eastAsia" w:ascii="仿宋_GB2312" w:hAnsi="宋体" w:eastAsia="仿宋_GB2312" w:cs="宋体"/>
          <w:color w:val="333333"/>
          <w:sz w:val="32"/>
          <w:szCs w:val="32"/>
          <w:shd w:val="clear" w:color="auto" w:fill="FFFFFF"/>
          <w:lang w:val="en-US" w:eastAsia="zh-CN"/>
        </w:rPr>
        <w:t>公开</w:t>
      </w:r>
      <w:r>
        <w:rPr>
          <w:rFonts w:hint="eastAsia" w:ascii="仿宋_GB2312" w:hAnsi="宋体" w:eastAsia="仿宋_GB2312" w:cs="宋体"/>
          <w:color w:val="333333"/>
          <w:sz w:val="32"/>
          <w:szCs w:val="32"/>
          <w:shd w:val="clear" w:color="auto" w:fill="FFFFFF"/>
          <w:lang w:eastAsia="zh-CN"/>
        </w:rPr>
        <w:t>发布信息数</w:t>
      </w:r>
      <w:r>
        <w:rPr>
          <w:rFonts w:hint="eastAsia" w:ascii="仿宋_GB2312" w:hAnsi="宋体" w:eastAsia="仿宋_GB2312" w:cs="宋体"/>
          <w:color w:val="333333"/>
          <w:sz w:val="32"/>
          <w:szCs w:val="32"/>
          <w:shd w:val="clear" w:color="auto" w:fill="FFFFFF"/>
          <w:lang w:val="en-US" w:eastAsia="zh-CN"/>
        </w:rPr>
        <w:t>18</w:t>
      </w:r>
      <w:r>
        <w:rPr>
          <w:rFonts w:hint="default" w:ascii="仿宋_GB2312" w:hAnsi="宋体" w:eastAsia="仿宋_GB2312" w:cs="宋体"/>
          <w:color w:val="333333"/>
          <w:sz w:val="32"/>
          <w:szCs w:val="32"/>
          <w:shd w:val="clear" w:color="auto" w:fill="FFFFFF"/>
          <w:lang w:eastAsia="zh-CN"/>
        </w:rPr>
        <w:t>6</w:t>
      </w:r>
      <w:r>
        <w:rPr>
          <w:rFonts w:hint="eastAsia" w:ascii="仿宋_GB2312" w:hAnsi="宋体" w:eastAsia="仿宋_GB2312" w:cs="宋体"/>
          <w:color w:val="333333"/>
          <w:sz w:val="32"/>
          <w:szCs w:val="32"/>
          <w:shd w:val="clear" w:color="auto" w:fill="FFFFFF"/>
          <w:lang w:eastAsia="zh-CN"/>
        </w:rPr>
        <w:t>条。</w:t>
      </w:r>
      <w:r>
        <w:rPr>
          <w:rFonts w:hint="eastAsia" w:ascii="仿宋_GB2312" w:hAnsi="宋体" w:eastAsia="仿宋_GB2312" w:cs="宋体"/>
          <w:color w:val="333333"/>
          <w:sz w:val="32"/>
          <w:szCs w:val="32"/>
          <w:shd w:val="clear" w:color="auto" w:fill="FFFFFF"/>
          <w:lang w:val="en-US" w:eastAsia="zh-CN"/>
        </w:rPr>
        <w:t>2022年，我局共</w:t>
      </w:r>
      <w:r>
        <w:rPr>
          <w:rFonts w:hint="eastAsia" w:ascii="仿宋_GB2312" w:hAnsi="宋体" w:eastAsia="仿宋_GB2312" w:cs="宋体"/>
          <w:color w:val="333333"/>
          <w:sz w:val="32"/>
          <w:szCs w:val="32"/>
          <w:shd w:val="clear" w:color="auto" w:fill="FFFFFF"/>
          <w:lang w:eastAsia="zh-CN"/>
        </w:rPr>
        <w:t>通过局门户网站互动栏目回应公众关注热点</w:t>
      </w:r>
      <w:r>
        <w:rPr>
          <w:rFonts w:hint="eastAsia" w:ascii="仿宋_GB2312" w:hAnsi="宋体" w:eastAsia="仿宋_GB2312" w:cs="宋体"/>
          <w:color w:val="333333"/>
          <w:sz w:val="32"/>
          <w:szCs w:val="32"/>
          <w:shd w:val="clear" w:color="auto" w:fill="FFFFFF"/>
          <w:lang w:val="en-US" w:eastAsia="zh-CN"/>
        </w:rPr>
        <w:t>9次，收到和答复留言221条。</w:t>
      </w:r>
    </w:p>
    <w:bookmarkEnd w:id="10"/>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仿宋_GB2312" w:hAnsi="宋体" w:eastAsia="仿宋_GB2312" w:cs="宋体"/>
          <w:color w:val="333333"/>
          <w:sz w:val="32"/>
          <w:szCs w:val="32"/>
          <w:shd w:val="clear" w:color="auto" w:fill="FFFFFF"/>
          <w:lang w:val="en-US" w:eastAsia="zh-CN"/>
        </w:rPr>
      </w:pPr>
      <w:r>
        <w:rPr>
          <w:rFonts w:hint="eastAsia" w:ascii="仿宋_GB2312" w:hAnsi="宋体" w:eastAsia="仿宋_GB2312" w:cs="宋体"/>
          <w:color w:val="333333"/>
          <w:sz w:val="32"/>
          <w:szCs w:val="32"/>
          <w:shd w:val="clear" w:color="auto" w:fill="FFFFFF"/>
          <w:lang w:val="en-US" w:eastAsia="zh-CN"/>
        </w:rPr>
        <w:drawing>
          <wp:inline distT="0" distB="0" distL="114300" distR="114300">
            <wp:extent cx="6115685" cy="3869055"/>
            <wp:effectExtent l="5080" t="4445" r="5715" b="1270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楷体_GB2312" w:hAnsi="楷体_GB2312" w:eastAsia="楷体_GB2312" w:cs="楷体_GB2312"/>
          <w:i w:val="0"/>
          <w:iCs w:val="0"/>
          <w:caps w:val="0"/>
          <w:color w:val="auto"/>
          <w:spacing w:val="0"/>
          <w:sz w:val="32"/>
          <w:szCs w:val="32"/>
          <w:shd w:val="clear" w:fill="FFFFFF"/>
          <w:vertAlign w:val="baseline"/>
        </w:rPr>
      </w:pPr>
      <w:r>
        <w:rPr>
          <w:rFonts w:hint="eastAsia" w:ascii="楷体_GB2312" w:hAnsi="楷体_GB2312" w:eastAsia="楷体_GB2312" w:cs="楷体_GB2312"/>
          <w:i w:val="0"/>
          <w:iCs w:val="0"/>
          <w:caps w:val="0"/>
          <w:color w:val="auto"/>
          <w:spacing w:val="0"/>
          <w:sz w:val="32"/>
          <w:szCs w:val="32"/>
          <w:shd w:val="clear" w:fill="FFFFFF"/>
          <w:vertAlign w:val="baseline"/>
        </w:rPr>
        <w:t>（二）规范依申请办理流程</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宋体" w:eastAsia="仿宋_GB2312" w:cs="宋体"/>
          <w:color w:val="333333"/>
          <w:sz w:val="32"/>
          <w:szCs w:val="32"/>
          <w:shd w:val="clear" w:color="auto" w:fill="FFFFFF"/>
          <w:lang w:eastAsia="zh-CN"/>
        </w:rPr>
      </w:pPr>
      <w:r>
        <w:rPr>
          <w:rFonts w:hint="eastAsia" w:ascii="仿宋_GB2312" w:hAnsi="宋体" w:eastAsia="仿宋_GB2312" w:cs="宋体"/>
          <w:color w:val="333333"/>
          <w:sz w:val="32"/>
          <w:szCs w:val="32"/>
          <w:shd w:val="clear" w:color="auto" w:fill="FFFFFF"/>
          <w:lang w:val="en-US" w:eastAsia="zh-CN"/>
        </w:rPr>
        <w:t>进一步</w:t>
      </w:r>
      <w:r>
        <w:rPr>
          <w:rFonts w:hint="eastAsia" w:ascii="仿宋_GB2312" w:hAnsi="宋体" w:eastAsia="仿宋_GB2312" w:cs="宋体"/>
          <w:color w:val="333333"/>
          <w:sz w:val="32"/>
          <w:szCs w:val="32"/>
          <w:shd w:val="clear" w:color="auto" w:fill="FFFFFF"/>
          <w:lang w:eastAsia="zh-CN"/>
        </w:rPr>
        <w:t>规范依申请办理流程。安排专人负责依申请公开的接收、登记、转办、审核、答复和归档工作，加强办公室与</w:t>
      </w:r>
      <w:r>
        <w:rPr>
          <w:rFonts w:hint="eastAsia" w:ascii="仿宋_GB2312" w:hAnsi="宋体" w:eastAsia="仿宋_GB2312" w:cs="宋体"/>
          <w:color w:val="333333"/>
          <w:sz w:val="32"/>
          <w:szCs w:val="32"/>
          <w:shd w:val="clear" w:color="auto" w:fill="FFFFFF"/>
          <w:lang w:val="en-US" w:eastAsia="zh-CN"/>
        </w:rPr>
        <w:t>局各</w:t>
      </w:r>
      <w:r>
        <w:rPr>
          <w:rFonts w:hint="eastAsia" w:ascii="仿宋_GB2312" w:hAnsi="宋体" w:eastAsia="仿宋_GB2312" w:cs="宋体"/>
          <w:color w:val="333333"/>
          <w:sz w:val="32"/>
          <w:szCs w:val="32"/>
          <w:shd w:val="clear" w:color="auto" w:fill="FFFFFF"/>
          <w:lang w:eastAsia="zh-CN"/>
        </w:rPr>
        <w:t>科室、</w:t>
      </w:r>
      <w:r>
        <w:rPr>
          <w:rFonts w:hint="eastAsia" w:ascii="仿宋_GB2312" w:hAnsi="宋体" w:eastAsia="仿宋_GB2312" w:cs="宋体"/>
          <w:color w:val="333333"/>
          <w:sz w:val="32"/>
          <w:szCs w:val="32"/>
          <w:shd w:val="clear" w:color="auto" w:fill="FFFFFF"/>
          <w:lang w:val="en-US" w:eastAsia="zh-CN"/>
        </w:rPr>
        <w:t>单位之间</w:t>
      </w:r>
      <w:r>
        <w:rPr>
          <w:rFonts w:hint="eastAsia" w:ascii="仿宋_GB2312" w:hAnsi="宋体" w:eastAsia="仿宋_GB2312" w:cs="宋体"/>
          <w:color w:val="333333"/>
          <w:sz w:val="32"/>
          <w:szCs w:val="32"/>
          <w:shd w:val="clear" w:color="auto" w:fill="FFFFFF"/>
          <w:lang w:eastAsia="zh-CN"/>
        </w:rPr>
        <w:t>的协调配合，</w:t>
      </w:r>
      <w:r>
        <w:rPr>
          <w:rFonts w:hint="eastAsia" w:ascii="仿宋_GB2312" w:hAnsi="宋体" w:eastAsia="仿宋_GB2312" w:cs="宋体"/>
          <w:color w:val="333333"/>
          <w:sz w:val="32"/>
          <w:szCs w:val="32"/>
          <w:shd w:val="clear" w:color="auto" w:fill="FFFFFF"/>
          <w:lang w:val="en-US" w:eastAsia="zh-CN"/>
        </w:rPr>
        <w:t>将一般依申请公开案件的承诺办结时限缩短至7个工作日。2022年全</w:t>
      </w:r>
      <w:r>
        <w:rPr>
          <w:rFonts w:hint="eastAsia" w:ascii="仿宋_GB2312" w:hAnsi="宋体" w:eastAsia="仿宋_GB2312" w:cs="宋体"/>
          <w:color w:val="333333"/>
          <w:sz w:val="32"/>
          <w:szCs w:val="32"/>
          <w:shd w:val="clear" w:color="auto" w:fill="FFFFFF"/>
          <w:lang w:eastAsia="zh-CN"/>
        </w:rPr>
        <w:t>年共收到信息公开申请</w:t>
      </w:r>
      <w:r>
        <w:rPr>
          <w:rFonts w:hint="eastAsia" w:ascii="仿宋_GB2312" w:hAnsi="宋体" w:eastAsia="仿宋_GB2312" w:cs="宋体"/>
          <w:color w:val="333333"/>
          <w:sz w:val="32"/>
          <w:szCs w:val="32"/>
          <w:shd w:val="clear" w:color="auto" w:fill="FFFFFF"/>
          <w:lang w:val="en-US" w:eastAsia="zh-CN"/>
        </w:rPr>
        <w:t>15</w:t>
      </w:r>
      <w:r>
        <w:rPr>
          <w:rFonts w:hint="eastAsia" w:ascii="仿宋_GB2312" w:hAnsi="宋体" w:eastAsia="仿宋_GB2312" w:cs="宋体"/>
          <w:color w:val="333333"/>
          <w:sz w:val="32"/>
          <w:szCs w:val="32"/>
          <w:shd w:val="clear" w:color="auto" w:fill="FFFFFF"/>
          <w:lang w:eastAsia="zh-CN"/>
        </w:rPr>
        <w:t>件，</w:t>
      </w:r>
      <w:r>
        <w:rPr>
          <w:rFonts w:hint="eastAsia" w:ascii="仿宋_GB2312" w:hAnsi="宋体" w:eastAsia="仿宋_GB2312" w:cs="宋体"/>
          <w:color w:val="333333"/>
          <w:sz w:val="32"/>
          <w:szCs w:val="32"/>
          <w:shd w:val="clear" w:color="auto" w:fill="FFFFFF"/>
          <w:lang w:val="en-US" w:eastAsia="zh-CN"/>
        </w:rPr>
        <w:t>较上一年度下降11.8%，全部申请均</w:t>
      </w:r>
      <w:r>
        <w:rPr>
          <w:rFonts w:hint="eastAsia" w:ascii="仿宋_GB2312" w:hAnsi="宋体" w:eastAsia="仿宋_GB2312" w:cs="宋体"/>
          <w:color w:val="333333"/>
          <w:sz w:val="32"/>
          <w:szCs w:val="32"/>
          <w:shd w:val="clear" w:color="auto" w:fill="FFFFFF"/>
          <w:lang w:eastAsia="zh-CN"/>
        </w:rPr>
        <w:t>严格在</w:t>
      </w:r>
      <w:r>
        <w:rPr>
          <w:rFonts w:hint="eastAsia" w:ascii="仿宋_GB2312" w:hAnsi="宋体" w:eastAsia="仿宋_GB2312" w:cs="宋体"/>
          <w:color w:val="333333"/>
          <w:sz w:val="32"/>
          <w:szCs w:val="32"/>
          <w:shd w:val="clear" w:color="auto" w:fill="FFFFFF"/>
          <w:lang w:val="en-US" w:eastAsia="zh-CN"/>
        </w:rPr>
        <w:t>承诺办结</w:t>
      </w:r>
      <w:r>
        <w:rPr>
          <w:rFonts w:hint="eastAsia" w:ascii="仿宋_GB2312" w:hAnsi="宋体" w:eastAsia="仿宋_GB2312" w:cs="宋体"/>
          <w:color w:val="333333"/>
          <w:sz w:val="32"/>
          <w:szCs w:val="32"/>
          <w:shd w:val="clear" w:color="auto" w:fill="FFFFFF"/>
          <w:lang w:eastAsia="zh-CN"/>
        </w:rPr>
        <w:t>时限内进行答复，按时答复率100%。在</w:t>
      </w:r>
      <w:r>
        <w:rPr>
          <w:rFonts w:hint="eastAsia" w:ascii="仿宋_GB2312" w:hAnsi="宋体" w:eastAsia="仿宋_GB2312" w:cs="宋体"/>
          <w:color w:val="333333"/>
          <w:sz w:val="32"/>
          <w:szCs w:val="32"/>
          <w:shd w:val="clear" w:color="auto" w:fill="FFFFFF"/>
          <w:lang w:val="en-US" w:eastAsia="zh-CN"/>
        </w:rPr>
        <w:t>答复内容上，我局做到能公开尽公开，全年</w:t>
      </w:r>
      <w:r>
        <w:rPr>
          <w:rFonts w:hint="eastAsia" w:ascii="仿宋_GB2312" w:hAnsi="宋体" w:eastAsia="仿宋_GB2312" w:cs="宋体"/>
          <w:color w:val="333333"/>
          <w:sz w:val="32"/>
          <w:szCs w:val="32"/>
          <w:shd w:val="clear" w:color="auto" w:fill="FFFFFF"/>
          <w:lang w:eastAsia="zh-CN"/>
        </w:rPr>
        <w:t>因依申请公开提起行政复议案件</w:t>
      </w:r>
      <w:r>
        <w:rPr>
          <w:rFonts w:hint="eastAsia" w:ascii="仿宋_GB2312" w:hAnsi="宋体" w:eastAsia="仿宋_GB2312" w:cs="宋体"/>
          <w:color w:val="333333"/>
          <w:sz w:val="32"/>
          <w:szCs w:val="32"/>
          <w:shd w:val="clear" w:color="auto" w:fill="FFFFFF"/>
          <w:lang w:val="en-US" w:eastAsia="zh-CN"/>
        </w:rPr>
        <w:t>1</w:t>
      </w:r>
      <w:r>
        <w:rPr>
          <w:rFonts w:hint="eastAsia" w:ascii="仿宋_GB2312" w:hAnsi="宋体" w:eastAsia="仿宋_GB2312" w:cs="宋体"/>
          <w:color w:val="333333"/>
          <w:sz w:val="32"/>
          <w:szCs w:val="32"/>
          <w:shd w:val="clear" w:color="auto" w:fill="FFFFFF"/>
          <w:lang w:eastAsia="zh-CN"/>
        </w:rPr>
        <w:t>件，</w:t>
      </w:r>
      <w:r>
        <w:rPr>
          <w:rFonts w:hint="eastAsia" w:ascii="仿宋_GB2312" w:hAnsi="宋体" w:eastAsia="仿宋_GB2312" w:cs="宋体"/>
          <w:color w:val="333333"/>
          <w:sz w:val="32"/>
          <w:szCs w:val="32"/>
          <w:shd w:val="clear" w:color="auto" w:fill="FFFFFF"/>
          <w:lang w:val="en-US" w:eastAsia="zh-CN"/>
        </w:rPr>
        <w:t>结果维持1件，败诉0件</w:t>
      </w:r>
      <w:r>
        <w:rPr>
          <w:rFonts w:hint="eastAsia" w:ascii="仿宋_GB2312" w:hAnsi="宋体" w:eastAsia="仿宋_GB2312" w:cs="宋体"/>
          <w:color w:val="333333"/>
          <w:sz w:val="32"/>
          <w:szCs w:val="32"/>
          <w:shd w:val="clear" w:color="auto" w:fill="FFFFFF"/>
          <w:lang w:eastAsia="zh-CN"/>
        </w:rPr>
        <w:t>；因依申请公开提起行政诉讼案件</w:t>
      </w:r>
      <w:r>
        <w:rPr>
          <w:rFonts w:hint="eastAsia" w:ascii="仿宋_GB2312" w:hAnsi="宋体" w:eastAsia="仿宋_GB2312" w:cs="宋体"/>
          <w:color w:val="333333"/>
          <w:sz w:val="32"/>
          <w:szCs w:val="32"/>
          <w:shd w:val="clear" w:color="auto" w:fill="FFFFFF"/>
          <w:lang w:val="en-US" w:eastAsia="zh-CN"/>
        </w:rPr>
        <w:t>0</w:t>
      </w:r>
      <w:r>
        <w:rPr>
          <w:rFonts w:hint="eastAsia" w:ascii="仿宋_GB2312" w:hAnsi="宋体" w:eastAsia="仿宋_GB2312" w:cs="宋体"/>
          <w:color w:val="333333"/>
          <w:sz w:val="32"/>
          <w:szCs w:val="32"/>
          <w:shd w:val="clear" w:color="auto" w:fill="FFFFFF"/>
          <w:lang w:eastAsia="zh-CN"/>
        </w:rPr>
        <w:t>件，</w:t>
      </w:r>
      <w:r>
        <w:rPr>
          <w:rFonts w:hint="eastAsia" w:ascii="仿宋_GB2312" w:hAnsi="宋体" w:eastAsia="仿宋_GB2312" w:cs="宋体"/>
          <w:color w:val="333333"/>
          <w:sz w:val="32"/>
          <w:szCs w:val="32"/>
          <w:shd w:val="clear" w:color="auto" w:fill="FFFFFF"/>
          <w:lang w:val="en-US" w:eastAsia="zh-CN"/>
        </w:rPr>
        <w:t>败诉0件</w:t>
      </w:r>
      <w:r>
        <w:rPr>
          <w:rFonts w:hint="eastAsia" w:ascii="仿宋_GB2312" w:hAnsi="宋体" w:eastAsia="仿宋_GB2312" w:cs="宋体"/>
          <w:color w:val="333333"/>
          <w:sz w:val="32"/>
          <w:szCs w:val="32"/>
          <w:shd w:val="clear" w:color="auto" w:fill="FFFFFF"/>
          <w:lang w:eastAsia="zh-CN"/>
        </w:rPr>
        <w:t>，</w:t>
      </w:r>
      <w:r>
        <w:rPr>
          <w:rFonts w:hint="eastAsia" w:ascii="仿宋_GB2312" w:hAnsi="宋体" w:eastAsia="仿宋_GB2312" w:cs="宋体"/>
          <w:color w:val="333333"/>
          <w:sz w:val="32"/>
          <w:szCs w:val="32"/>
          <w:shd w:val="clear" w:color="auto" w:fill="FFFFFF"/>
          <w:lang w:val="en-US" w:eastAsia="zh-CN"/>
        </w:rPr>
        <w:t>实现</w:t>
      </w:r>
      <w:r>
        <w:rPr>
          <w:rFonts w:hint="eastAsia" w:ascii="仿宋_GB2312" w:hAnsi="宋体" w:eastAsia="仿宋_GB2312" w:cs="宋体"/>
          <w:color w:val="333333"/>
          <w:sz w:val="32"/>
          <w:szCs w:val="32"/>
          <w:shd w:val="clear" w:color="auto" w:fill="FFFFFF"/>
          <w:lang w:eastAsia="zh-CN"/>
        </w:rPr>
        <w:t>202</w:t>
      </w:r>
      <w:r>
        <w:rPr>
          <w:rFonts w:hint="eastAsia" w:ascii="仿宋_GB2312" w:hAnsi="宋体" w:eastAsia="仿宋_GB2312" w:cs="宋体"/>
          <w:color w:val="333333"/>
          <w:sz w:val="32"/>
          <w:szCs w:val="32"/>
          <w:shd w:val="clear" w:color="auto" w:fill="FFFFFF"/>
          <w:lang w:val="en-US" w:eastAsia="zh-CN"/>
        </w:rPr>
        <w:t>2</w:t>
      </w:r>
      <w:r>
        <w:rPr>
          <w:rFonts w:hint="eastAsia" w:ascii="仿宋_GB2312" w:hAnsi="宋体" w:eastAsia="仿宋_GB2312" w:cs="宋体"/>
          <w:color w:val="333333"/>
          <w:sz w:val="32"/>
          <w:szCs w:val="32"/>
          <w:shd w:val="clear" w:color="auto" w:fill="FFFFFF"/>
          <w:lang w:eastAsia="zh-CN"/>
        </w:rPr>
        <w:t>年</w:t>
      </w:r>
      <w:r>
        <w:rPr>
          <w:rFonts w:hint="eastAsia" w:ascii="仿宋_GB2312" w:hAnsi="宋体" w:eastAsia="仿宋_GB2312" w:cs="宋体"/>
          <w:color w:val="333333"/>
          <w:sz w:val="32"/>
          <w:szCs w:val="32"/>
          <w:shd w:val="clear" w:color="auto" w:fill="FFFFFF"/>
          <w:lang w:val="en-US" w:eastAsia="zh-CN"/>
        </w:rPr>
        <w:t>依申请公开</w:t>
      </w:r>
      <w:r>
        <w:rPr>
          <w:rFonts w:hint="eastAsia" w:ascii="仿宋_GB2312" w:hAnsi="宋体" w:eastAsia="仿宋_GB2312" w:cs="宋体"/>
          <w:color w:val="333333"/>
          <w:sz w:val="32"/>
          <w:szCs w:val="32"/>
          <w:shd w:val="clear" w:color="auto" w:fill="FFFFFF"/>
          <w:lang w:eastAsia="zh-CN"/>
        </w:rPr>
        <w:t>零败诉。</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宋体" w:eastAsia="仿宋_GB2312" w:cs="宋体"/>
          <w:color w:val="333333"/>
          <w:sz w:val="32"/>
          <w:szCs w:val="32"/>
          <w:shd w:val="clear" w:color="auto" w:fill="FFFFFF"/>
          <w:lang w:eastAsia="zh-CN"/>
        </w:rPr>
      </w:pPr>
      <w:r>
        <w:rPr>
          <w:rFonts w:hint="eastAsia" w:ascii="仿宋_GB2312" w:hAnsi="宋体" w:eastAsia="仿宋_GB2312" w:cs="宋体"/>
          <w:color w:val="333333"/>
          <w:sz w:val="32"/>
          <w:szCs w:val="32"/>
          <w:shd w:val="clear" w:color="auto" w:fill="FFFFFF"/>
          <w:lang w:eastAsia="zh-CN"/>
        </w:rPr>
        <w:drawing>
          <wp:inline distT="0" distB="0" distL="114300" distR="114300">
            <wp:extent cx="5664835" cy="2974340"/>
            <wp:effectExtent l="0" t="0" r="4445" b="1270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6"/>
                    <a:stretch>
                      <a:fillRect/>
                    </a:stretch>
                  </pic:blipFill>
                  <pic:spPr>
                    <a:xfrm>
                      <a:off x="0" y="0"/>
                      <a:ext cx="5664835" cy="2974340"/>
                    </a:xfrm>
                    <a:prstGeom prst="rect">
                      <a:avLst/>
                    </a:prstGeom>
                    <a:extLst>
                      <wpswe:webExtensionRef xmlns:wpswe="http://www.wps.cn/officeDocument/2018/webExtension" r:id="rId5"/>
                    </a:extLst>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楷体_GB2312" w:hAnsi="微软雅黑" w:eastAsia="楷体_GB2312" w:cs="楷体_GB2312"/>
          <w:i w:val="0"/>
          <w:iCs w:val="0"/>
          <w:caps w:val="0"/>
          <w:color w:val="000000"/>
          <w:spacing w:val="0"/>
          <w:sz w:val="32"/>
          <w:szCs w:val="32"/>
          <w:shd w:val="clear" w:fill="FFFFFF"/>
        </w:rPr>
      </w:pPr>
      <w:r>
        <w:rPr>
          <w:rFonts w:hint="eastAsia" w:ascii="楷体_GB2312" w:hAnsi="Times New Roman" w:eastAsia="楷体_GB2312" w:cs="楷体_GB2312"/>
          <w:i w:val="0"/>
          <w:iCs w:val="0"/>
          <w:caps w:val="0"/>
          <w:color w:val="000000"/>
          <w:spacing w:val="0"/>
          <w:sz w:val="32"/>
          <w:szCs w:val="32"/>
          <w:shd w:val="clear" w:fill="FFFFFF"/>
        </w:rPr>
        <w:t>（三）</w:t>
      </w:r>
      <w:r>
        <w:rPr>
          <w:rFonts w:hint="eastAsia" w:ascii="楷体_GB2312" w:hAnsi="微软雅黑" w:eastAsia="楷体_GB2312" w:cs="楷体_GB2312"/>
          <w:i w:val="0"/>
          <w:iCs w:val="0"/>
          <w:caps w:val="0"/>
          <w:color w:val="000000"/>
          <w:spacing w:val="0"/>
          <w:sz w:val="32"/>
          <w:szCs w:val="32"/>
          <w:shd w:val="clear" w:fill="FFFFFF"/>
        </w:rPr>
        <w:t>加强政府信息管理</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eastAsia" w:ascii="仿宋_GB2312" w:hAnsi="宋体" w:eastAsia="仿宋_GB2312" w:cs="宋体"/>
          <w:color w:val="333333"/>
          <w:sz w:val="32"/>
          <w:szCs w:val="32"/>
          <w:shd w:val="clear" w:color="auto" w:fill="FFFFFF"/>
          <w:lang w:val="en-US" w:eastAsia="zh-CN"/>
        </w:rPr>
      </w:pPr>
      <w:r>
        <w:rPr>
          <w:rFonts w:hint="eastAsia" w:ascii="仿宋_GB2312" w:hAnsi="宋体" w:eastAsia="仿宋_GB2312" w:cs="宋体"/>
          <w:b/>
          <w:bCs/>
          <w:color w:val="333333"/>
          <w:sz w:val="32"/>
          <w:szCs w:val="32"/>
          <w:shd w:val="clear" w:color="auto" w:fill="FFFFFF"/>
          <w:lang w:val="en-US" w:eastAsia="zh-CN"/>
        </w:rPr>
        <w:t>一是加强政府信息发布审查。</w:t>
      </w:r>
      <w:r>
        <w:rPr>
          <w:rFonts w:hint="eastAsia" w:ascii="仿宋_GB2312" w:hAnsi="宋体" w:eastAsia="仿宋_GB2312" w:cs="宋体"/>
          <w:color w:val="333333"/>
          <w:sz w:val="32"/>
          <w:szCs w:val="32"/>
          <w:shd w:val="clear" w:color="auto" w:fill="FFFFFF"/>
          <w:lang w:val="en-US" w:eastAsia="zh-CN"/>
        </w:rPr>
        <w:t>加大网站信息发布监管力度，切实落实《文件公开属性源头认定制度》和《政务公开动态扩展和定期审查制度》要求，严格对外宣发审批程序，做到信息发布审核和信息公开保密审查同步审查。</w:t>
      </w:r>
      <w:r>
        <w:rPr>
          <w:rFonts w:hint="eastAsia" w:ascii="仿宋_GB2312" w:hAnsi="宋体" w:eastAsia="仿宋_GB2312" w:cs="宋体"/>
          <w:b/>
          <w:bCs/>
          <w:color w:val="333333"/>
          <w:sz w:val="32"/>
          <w:szCs w:val="32"/>
          <w:shd w:val="clear" w:color="auto" w:fill="FFFFFF"/>
          <w:lang w:val="en-US" w:eastAsia="zh-CN"/>
        </w:rPr>
        <w:t>二是动态调整更新主动公开基本目录。</w:t>
      </w:r>
      <w:r>
        <w:rPr>
          <w:rFonts w:hint="eastAsia" w:ascii="仿宋_GB2312" w:hAnsi="宋体" w:eastAsia="仿宋_GB2312" w:cs="宋体"/>
          <w:color w:val="333333"/>
          <w:sz w:val="32"/>
          <w:szCs w:val="32"/>
          <w:shd w:val="clear" w:color="auto" w:fill="FFFFFF"/>
          <w:lang w:val="en-US" w:eastAsia="zh-CN"/>
        </w:rPr>
        <w:t>定期对本单位不予公开的信息进行全面自查，探索建立详细具体的政务公开负面清单,细化明确不予公开范围。</w:t>
      </w:r>
      <w:r>
        <w:rPr>
          <w:rFonts w:hint="eastAsia" w:ascii="仿宋_GB2312" w:hAnsi="宋体" w:eastAsia="仿宋_GB2312" w:cs="宋体"/>
          <w:b/>
          <w:bCs/>
          <w:color w:val="333333"/>
          <w:sz w:val="32"/>
          <w:szCs w:val="32"/>
          <w:shd w:val="clear" w:color="auto" w:fill="FFFFFF"/>
          <w:lang w:val="en-US" w:eastAsia="zh-CN"/>
        </w:rPr>
        <w:t>三是完善政府信息公开动态管理机制,对政府信息进行全生命周期的规范管理。</w:t>
      </w:r>
      <w:r>
        <w:rPr>
          <w:rFonts w:hint="eastAsia" w:ascii="仿宋_GB2312" w:hAnsi="宋体" w:eastAsia="仿宋_GB2312" w:cs="宋体"/>
          <w:color w:val="333333"/>
          <w:sz w:val="32"/>
          <w:szCs w:val="32"/>
          <w:shd w:val="clear" w:color="auto" w:fill="FFFFFF"/>
          <w:lang w:val="en-US" w:eastAsia="zh-CN"/>
        </w:rPr>
        <w:t>对于已公开的法规、规章、规范性文件,根据立、改、废等情况动态进行调整更新。2022年，我局共发布规范性文件0件，清理、废止规范性文件0件。经梳理，目前我局无现行有效的规范性文件。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楷体_GB2312" w:hAnsi="微软雅黑" w:eastAsia="楷体_GB2312" w:cs="楷体_GB2312"/>
          <w:i w:val="0"/>
          <w:iCs w:val="0"/>
          <w:caps w:val="0"/>
          <w:color w:val="000000"/>
          <w:spacing w:val="0"/>
          <w:sz w:val="32"/>
          <w:szCs w:val="32"/>
          <w:shd w:val="clear" w:fill="FFFFFF"/>
        </w:rPr>
      </w:pPr>
      <w:r>
        <w:rPr>
          <w:rFonts w:hint="eastAsia" w:ascii="楷体_GB2312" w:hAnsi="微软雅黑" w:eastAsia="楷体_GB2312" w:cs="楷体_GB2312"/>
          <w:i w:val="0"/>
          <w:iCs w:val="0"/>
          <w:caps w:val="0"/>
          <w:color w:val="000000"/>
          <w:spacing w:val="0"/>
          <w:sz w:val="32"/>
          <w:szCs w:val="32"/>
          <w:shd w:val="clear" w:fill="FFFFFF"/>
        </w:rPr>
        <w:t>（四）</w:t>
      </w:r>
      <w:r>
        <w:rPr>
          <w:rFonts w:hint="eastAsia" w:ascii="楷体_GB2312" w:hAnsi="微软雅黑" w:eastAsia="楷体_GB2312" w:cs="楷体_GB2312"/>
          <w:i w:val="0"/>
          <w:iCs w:val="0"/>
          <w:caps w:val="0"/>
          <w:color w:val="000000"/>
          <w:spacing w:val="0"/>
          <w:sz w:val="32"/>
          <w:szCs w:val="32"/>
          <w:shd w:val="clear" w:fill="FFFFFF"/>
          <w:lang w:val="en-US" w:eastAsia="zh-CN"/>
        </w:rPr>
        <w:t>构建政务新媒体“矩阵”</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宋体" w:eastAsia="仿宋_GB2312" w:cs="宋体"/>
          <w:color w:val="333333"/>
          <w:sz w:val="32"/>
          <w:szCs w:val="32"/>
          <w:shd w:val="clear" w:color="auto" w:fill="FFFFFF"/>
          <w:lang w:val="en-US" w:eastAsia="zh-CN"/>
        </w:rPr>
      </w:pPr>
      <w:r>
        <w:rPr>
          <w:rFonts w:hint="eastAsia" w:ascii="仿宋_GB2312" w:hAnsi="宋体" w:eastAsia="仿宋_GB2312" w:cs="宋体"/>
          <w:color w:val="333333"/>
          <w:sz w:val="32"/>
          <w:szCs w:val="32"/>
          <w:shd w:val="clear" w:color="auto" w:fill="FFFFFF"/>
          <w:lang w:val="en-US" w:eastAsia="zh-CN"/>
        </w:rPr>
        <w:t>充分发挥政府门户网站第一平台作用，不断完善网站政府信息公开平台建设，及时更新劳动保障、社会保险、就业创业、人才引进等相关内容，加大面向重点受众的信息传播力度。积极利用“聊城人社”微信公众号推广宣传人社政策法规，解读热点焦点政策。统一整合“聊城就业”、“聊城人事考试中心”、“聊城大学生就业”、“聊城人才”等内容，形成政务服务“矩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楷体_GB2312" w:hAnsi="微软雅黑" w:eastAsia="楷体_GB2312" w:cs="楷体_GB2312"/>
          <w:i w:val="0"/>
          <w:iCs w:val="0"/>
          <w:caps w:val="0"/>
          <w:color w:val="000000"/>
          <w:spacing w:val="0"/>
          <w:sz w:val="32"/>
          <w:szCs w:val="32"/>
          <w:shd w:val="clear" w:fill="FFFFFF"/>
          <w:lang w:val="en-US" w:eastAsia="zh-CN"/>
        </w:rPr>
      </w:pPr>
      <w:r>
        <w:rPr>
          <w:rFonts w:hint="eastAsia" w:ascii="楷体_GB2312" w:hAnsi="微软雅黑" w:eastAsia="楷体_GB2312" w:cs="楷体_GB2312"/>
          <w:i w:val="0"/>
          <w:iCs w:val="0"/>
          <w:caps w:val="0"/>
          <w:color w:val="000000"/>
          <w:spacing w:val="0"/>
          <w:sz w:val="32"/>
          <w:szCs w:val="32"/>
          <w:shd w:val="clear" w:fill="FFFFFF"/>
        </w:rPr>
        <w:t>（五）健全</w:t>
      </w:r>
      <w:r>
        <w:rPr>
          <w:rFonts w:hint="eastAsia" w:ascii="楷体_GB2312" w:hAnsi="微软雅黑" w:eastAsia="楷体_GB2312" w:cs="楷体_GB2312"/>
          <w:i w:val="0"/>
          <w:iCs w:val="0"/>
          <w:caps w:val="0"/>
          <w:color w:val="000000"/>
          <w:spacing w:val="0"/>
          <w:sz w:val="32"/>
          <w:szCs w:val="32"/>
          <w:shd w:val="clear" w:fill="FFFFFF"/>
          <w:lang w:val="en-US" w:eastAsia="zh-CN"/>
        </w:rPr>
        <w:t>信息公开组织保障</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eastAsia" w:ascii="仿宋_GB2312" w:hAnsi="宋体" w:eastAsia="仿宋_GB2312" w:cs="宋体"/>
          <w:color w:val="333333"/>
          <w:sz w:val="32"/>
          <w:szCs w:val="32"/>
          <w:shd w:val="clear" w:color="auto" w:fill="FFFFFF"/>
          <w:lang w:val="en-US" w:eastAsia="zh-CN"/>
        </w:rPr>
      </w:pPr>
      <w:r>
        <w:rPr>
          <w:rFonts w:hint="eastAsia" w:ascii="仿宋_GB2312" w:hAnsi="宋体" w:eastAsia="仿宋_GB2312" w:cs="宋体"/>
          <w:b/>
          <w:bCs/>
          <w:color w:val="333333"/>
          <w:sz w:val="32"/>
          <w:szCs w:val="32"/>
          <w:shd w:val="clear" w:color="auto" w:fill="FFFFFF"/>
          <w:lang w:val="en-US" w:eastAsia="zh-CN"/>
        </w:rPr>
        <w:t>一是加强组织领导。</w:t>
      </w:r>
      <w:r>
        <w:rPr>
          <w:rFonts w:hint="eastAsia" w:ascii="仿宋_GB2312" w:hAnsi="宋体" w:eastAsia="仿宋_GB2312" w:cs="宋体"/>
          <w:color w:val="333333"/>
          <w:sz w:val="32"/>
          <w:szCs w:val="32"/>
          <w:shd w:val="clear" w:color="auto" w:fill="FFFFFF"/>
          <w:lang w:val="en-US" w:eastAsia="zh-CN"/>
        </w:rPr>
        <w:t>根据人员变化情况和工作需要，及时调整充实政务公开工作领导小组，并配备3名工作人员负责政务公开工作。</w:t>
      </w:r>
      <w:r>
        <w:rPr>
          <w:rFonts w:hint="eastAsia" w:ascii="仿宋_GB2312" w:hAnsi="宋体" w:eastAsia="仿宋_GB2312" w:cs="宋体"/>
          <w:b/>
          <w:bCs/>
          <w:color w:val="333333"/>
          <w:sz w:val="32"/>
          <w:szCs w:val="32"/>
          <w:shd w:val="clear" w:color="auto" w:fill="FFFFFF"/>
          <w:lang w:val="en-US" w:eastAsia="zh-CN"/>
        </w:rPr>
        <w:t>二是细化公开要点。</w:t>
      </w:r>
      <w:r>
        <w:rPr>
          <w:rFonts w:hint="eastAsia" w:ascii="仿宋_GB2312" w:hAnsi="宋体" w:eastAsia="仿宋_GB2312" w:cs="宋体"/>
          <w:color w:val="333333"/>
          <w:sz w:val="32"/>
          <w:szCs w:val="32"/>
          <w:shd w:val="clear" w:color="auto" w:fill="FFFFFF"/>
          <w:lang w:val="en-US" w:eastAsia="zh-CN"/>
        </w:rPr>
        <w:t>紧密结合我局工作实际，制发《2022年聊城市人力资源和社会保障局政务公开工作要点》，部署深化重点领域信息公开，完善公开制度规范，明确具体牵头单位，确保各项任务落实。</w:t>
      </w:r>
      <w:r>
        <w:rPr>
          <w:rFonts w:hint="eastAsia" w:ascii="仿宋_GB2312" w:hAnsi="宋体" w:eastAsia="仿宋_GB2312" w:cs="宋体"/>
          <w:b/>
          <w:bCs/>
          <w:color w:val="333333"/>
          <w:sz w:val="32"/>
          <w:szCs w:val="32"/>
          <w:shd w:val="clear" w:color="auto" w:fill="FFFFFF"/>
          <w:lang w:val="en-US" w:eastAsia="zh-CN"/>
        </w:rPr>
        <w:t>三是开展自查评估。</w:t>
      </w:r>
      <w:r>
        <w:rPr>
          <w:rFonts w:hint="eastAsia" w:ascii="仿宋_GB2312" w:hAnsi="宋体" w:eastAsia="仿宋_GB2312" w:cs="宋体"/>
          <w:color w:val="333333"/>
          <w:sz w:val="32"/>
          <w:szCs w:val="32"/>
          <w:shd w:val="clear" w:color="auto" w:fill="FFFFFF"/>
          <w:lang w:val="en-US" w:eastAsia="zh-CN"/>
        </w:rPr>
        <w:t>认真开展政务公开问题排查整改工作，从公开渠道、主动公开、依申请公开、解读回应、政府信息公开平台建设等多个方面全面自查自纠，及时整改信息发布不及时等各类问题，不断增强政务公开工作质量。</w:t>
      </w:r>
      <w:r>
        <w:rPr>
          <w:rFonts w:hint="eastAsia" w:ascii="仿宋_GB2312" w:hAnsi="宋体" w:eastAsia="仿宋_GB2312" w:cs="宋体"/>
          <w:b/>
          <w:bCs/>
          <w:color w:val="333333"/>
          <w:sz w:val="32"/>
          <w:szCs w:val="32"/>
          <w:shd w:val="clear" w:color="auto" w:fill="FFFFFF"/>
          <w:lang w:val="en-US" w:eastAsia="zh-CN"/>
        </w:rPr>
        <w:t>四是加强政务公开培训。</w:t>
      </w:r>
      <w:r>
        <w:rPr>
          <w:rFonts w:hint="eastAsia" w:ascii="仿宋_GB2312" w:hAnsi="宋体" w:eastAsia="仿宋_GB2312" w:cs="宋体"/>
          <w:color w:val="333333"/>
          <w:sz w:val="32"/>
          <w:szCs w:val="32"/>
          <w:shd w:val="clear" w:color="auto" w:fill="FFFFFF"/>
          <w:lang w:val="en-US" w:eastAsia="zh-CN"/>
        </w:rPr>
        <w:t>本年度共通过集中培训、座谈交流等形式开展政务公开培训2次。</w:t>
      </w:r>
    </w:p>
    <w:p>
      <w:pPr>
        <w:rPr>
          <w:rFonts w:hint="eastAsia" w:ascii="仿宋_GB2312" w:hAnsi="宋体" w:eastAsia="仿宋_GB2312" w:cs="宋体"/>
          <w:color w:val="333333"/>
          <w:sz w:val="32"/>
          <w:szCs w:val="32"/>
          <w:shd w:val="clear" w:color="auto" w:fill="FFFFFF"/>
          <w:lang w:val="en-US" w:eastAsia="zh-CN"/>
        </w:rPr>
      </w:pPr>
      <w:r>
        <w:rPr>
          <w:rFonts w:hint="eastAsia" w:ascii="仿宋_GB2312" w:hAnsi="宋体" w:eastAsia="仿宋_GB2312" w:cs="宋体"/>
          <w:color w:val="333333"/>
          <w:sz w:val="32"/>
          <w:szCs w:val="32"/>
          <w:shd w:val="clear" w:color="auto" w:fill="FFFFFF"/>
          <w:lang w:val="en-US" w:eastAsia="zh-CN"/>
        </w:rPr>
        <w:br w:type="page"/>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黑体" w:hAnsi="黑体" w:eastAsia="黑体" w:cs="黑体"/>
          <w:b w:val="0"/>
          <w:bCs w:val="0"/>
          <w:i w:val="0"/>
          <w:iCs w:val="0"/>
          <w:caps w:val="0"/>
          <w:color w:val="auto"/>
          <w:spacing w:val="0"/>
          <w:sz w:val="32"/>
          <w:szCs w:val="32"/>
          <w:shd w:val="clear" w:fill="FFFFFF"/>
          <w:vertAlign w:val="baseline"/>
        </w:rPr>
      </w:pPr>
      <w:r>
        <w:rPr>
          <w:rFonts w:hint="eastAsia" w:ascii="黑体" w:hAnsi="黑体" w:eastAsia="黑体" w:cs="黑体"/>
          <w:b w:val="0"/>
          <w:bCs w:val="0"/>
          <w:i w:val="0"/>
          <w:iCs w:val="0"/>
          <w:caps w:val="0"/>
          <w:color w:val="auto"/>
          <w:spacing w:val="0"/>
          <w:sz w:val="32"/>
          <w:szCs w:val="32"/>
          <w:shd w:val="clear" w:fill="FFFFFF"/>
          <w:vertAlign w:val="baseline"/>
        </w:rPr>
        <w:t>二、主动公开政府信息情况</w:t>
      </w:r>
    </w:p>
    <w:tbl>
      <w:tblPr>
        <w:tblStyle w:val="5"/>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794"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ascii="黑体" w:hAnsi="黑体" w:eastAsia="黑体" w:cs="宋体"/>
                <w:color w:val="000000"/>
                <w:kern w:val="0"/>
                <w:sz w:val="28"/>
                <w:szCs w:val="28"/>
                <w:shd w:val="clear" w:color="auto" w:fill="auto"/>
              </w:rPr>
            </w:pPr>
            <w:r>
              <w:rPr>
                <w:rFonts w:hint="eastAsia" w:ascii="黑体" w:hAnsi="黑体" w:eastAsia="黑体" w:cs="宋体"/>
                <w:color w:val="000000"/>
                <w:kern w:val="0"/>
                <w:sz w:val="28"/>
                <w:szCs w:val="28"/>
                <w:shd w:val="clear" w:color="auto" w:fill="auto"/>
              </w:rPr>
              <w:t>第二十条第（一）项</w:t>
            </w:r>
          </w:p>
        </w:tc>
      </w:tr>
      <w:tr>
        <w:tblPrEx>
          <w:tblCellMar>
            <w:top w:w="0" w:type="dxa"/>
            <w:left w:w="108" w:type="dxa"/>
            <w:bottom w:w="0" w:type="dxa"/>
            <w:right w:w="108" w:type="dxa"/>
          </w:tblCellMar>
        </w:tblPrEx>
        <w:trPr>
          <w:trHeight w:val="794" w:hRule="atLeast"/>
        </w:trPr>
        <w:tc>
          <w:tcPr>
            <w:tcW w:w="2206" w:type="dxa"/>
            <w:tcBorders>
              <w:top w:val="nil"/>
              <w:left w:val="single" w:color="auto" w:sz="8" w:space="0"/>
              <w:bottom w:val="single" w:color="auto" w:sz="8" w:space="0"/>
              <w:right w:val="single" w:color="auto" w:sz="8"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ascii="仿宋_GB2312" w:hAnsi="宋体" w:eastAsia="仿宋_GB2312" w:cs="宋体"/>
                <w:color w:val="000000"/>
                <w:kern w:val="0"/>
                <w:sz w:val="28"/>
                <w:szCs w:val="28"/>
                <w:shd w:val="clear" w:color="auto" w:fill="auto"/>
              </w:rPr>
            </w:pPr>
            <w:r>
              <w:rPr>
                <w:rFonts w:hint="eastAsia" w:ascii="仿宋_GB2312" w:hAnsi="宋体" w:eastAsia="仿宋_GB2312" w:cs="宋体"/>
                <w:color w:val="000000"/>
                <w:kern w:val="0"/>
                <w:sz w:val="28"/>
                <w:szCs w:val="28"/>
                <w:shd w:val="clear" w:color="auto" w:fill="auto"/>
              </w:rPr>
              <w:t>信息内容</w:t>
            </w:r>
          </w:p>
        </w:tc>
        <w:tc>
          <w:tcPr>
            <w:tcW w:w="2206" w:type="dxa"/>
            <w:tcBorders>
              <w:top w:val="nil"/>
              <w:left w:val="nil"/>
              <w:bottom w:val="single" w:color="auto" w:sz="8" w:space="0"/>
              <w:right w:val="single" w:color="auto" w:sz="8"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ascii="仿宋_GB2312" w:hAnsi="宋体" w:eastAsia="仿宋_GB2312" w:cs="宋体"/>
                <w:color w:val="000000"/>
                <w:kern w:val="0"/>
                <w:sz w:val="28"/>
                <w:szCs w:val="28"/>
                <w:shd w:val="clear" w:color="auto" w:fill="auto"/>
              </w:rPr>
            </w:pPr>
            <w:r>
              <w:rPr>
                <w:rFonts w:hint="eastAsia" w:ascii="仿宋_GB2312" w:hAnsi="宋体" w:eastAsia="仿宋_GB2312" w:cs="宋体"/>
                <w:color w:val="000000"/>
                <w:kern w:val="0"/>
                <w:sz w:val="28"/>
                <w:szCs w:val="28"/>
                <w:shd w:val="clear" w:color="auto" w:fill="auto"/>
              </w:rPr>
              <w:t>本年制发件数</w:t>
            </w:r>
          </w:p>
        </w:tc>
        <w:tc>
          <w:tcPr>
            <w:tcW w:w="2206" w:type="dxa"/>
            <w:tcBorders>
              <w:top w:val="nil"/>
              <w:left w:val="nil"/>
              <w:bottom w:val="single" w:color="auto" w:sz="8" w:space="0"/>
              <w:right w:val="single" w:color="auto" w:sz="8"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ascii="仿宋_GB2312" w:hAnsi="宋体" w:eastAsia="仿宋_GB2312" w:cs="宋体"/>
                <w:color w:val="000000"/>
                <w:kern w:val="0"/>
                <w:sz w:val="28"/>
                <w:szCs w:val="28"/>
                <w:shd w:val="clear" w:color="auto" w:fill="auto"/>
              </w:rPr>
            </w:pPr>
            <w:r>
              <w:rPr>
                <w:rFonts w:hint="eastAsia" w:ascii="仿宋_GB2312" w:hAnsi="宋体" w:eastAsia="仿宋_GB2312" w:cs="宋体"/>
                <w:color w:val="000000"/>
                <w:kern w:val="0"/>
                <w:sz w:val="28"/>
                <w:szCs w:val="28"/>
                <w:shd w:val="clear" w:color="auto" w:fill="auto"/>
              </w:rPr>
              <w:t>本年废止件数</w:t>
            </w:r>
          </w:p>
        </w:tc>
        <w:tc>
          <w:tcPr>
            <w:tcW w:w="2206" w:type="dxa"/>
            <w:tcBorders>
              <w:top w:val="nil"/>
              <w:left w:val="nil"/>
              <w:bottom w:val="single" w:color="auto" w:sz="8" w:space="0"/>
              <w:right w:val="single" w:color="auto" w:sz="8"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ascii="仿宋_GB2312" w:hAnsi="宋体" w:eastAsia="仿宋_GB2312" w:cs="宋体"/>
                <w:color w:val="000000"/>
                <w:kern w:val="0"/>
                <w:sz w:val="28"/>
                <w:szCs w:val="28"/>
                <w:shd w:val="clear" w:color="auto" w:fill="auto"/>
              </w:rPr>
            </w:pPr>
            <w:r>
              <w:rPr>
                <w:rFonts w:hint="eastAsia" w:ascii="仿宋_GB2312" w:hAnsi="宋体" w:eastAsia="仿宋_GB2312" w:cs="宋体"/>
                <w:color w:val="000000"/>
                <w:kern w:val="0"/>
                <w:sz w:val="28"/>
                <w:szCs w:val="28"/>
                <w:shd w:val="clear" w:color="auto" w:fill="auto"/>
              </w:rPr>
              <w:t>现行有效件数</w:t>
            </w:r>
          </w:p>
        </w:tc>
      </w:tr>
      <w:tr>
        <w:tblPrEx>
          <w:tblCellMar>
            <w:top w:w="0" w:type="dxa"/>
            <w:left w:w="108" w:type="dxa"/>
            <w:bottom w:w="0" w:type="dxa"/>
            <w:right w:w="108" w:type="dxa"/>
          </w:tblCellMar>
        </w:tblPrEx>
        <w:trPr>
          <w:trHeight w:val="794" w:hRule="atLeast"/>
        </w:trPr>
        <w:tc>
          <w:tcPr>
            <w:tcW w:w="2206" w:type="dxa"/>
            <w:tcBorders>
              <w:top w:val="nil"/>
              <w:left w:val="single" w:color="auto" w:sz="8" w:space="0"/>
              <w:bottom w:val="single" w:color="auto" w:sz="8" w:space="0"/>
              <w:right w:val="single" w:color="auto" w:sz="8"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ascii="仿宋_GB2312" w:hAnsi="宋体" w:eastAsia="仿宋_GB2312" w:cs="宋体"/>
                <w:color w:val="000000"/>
                <w:kern w:val="0"/>
                <w:sz w:val="28"/>
                <w:szCs w:val="28"/>
                <w:shd w:val="clear" w:color="auto" w:fill="auto"/>
              </w:rPr>
            </w:pPr>
            <w:r>
              <w:rPr>
                <w:rFonts w:hint="eastAsia" w:ascii="仿宋_GB2312" w:hAnsi="宋体" w:eastAsia="仿宋_GB2312" w:cs="宋体"/>
                <w:color w:val="000000"/>
                <w:kern w:val="0"/>
                <w:sz w:val="28"/>
                <w:szCs w:val="28"/>
                <w:shd w:val="clear" w:color="auto" w:fill="auto"/>
              </w:rPr>
              <w:t>规章</w:t>
            </w:r>
          </w:p>
        </w:tc>
        <w:tc>
          <w:tcPr>
            <w:tcW w:w="2206" w:type="dxa"/>
            <w:tcBorders>
              <w:top w:val="nil"/>
              <w:left w:val="nil"/>
              <w:bottom w:val="single" w:color="auto" w:sz="8" w:space="0"/>
              <w:right w:val="single" w:color="auto" w:sz="8"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宋体" w:eastAsia="仿宋_GB2312" w:cs="宋体"/>
                <w:color w:val="000000"/>
                <w:kern w:val="0"/>
                <w:sz w:val="28"/>
                <w:szCs w:val="28"/>
                <w:shd w:val="clear" w:color="auto" w:fill="auto"/>
                <w:lang w:val="en-US" w:eastAsia="zh-CN"/>
              </w:rPr>
            </w:pPr>
            <w:r>
              <w:rPr>
                <w:rFonts w:hint="eastAsia" w:ascii="仿宋_GB2312" w:hAnsi="宋体" w:eastAsia="仿宋_GB2312" w:cs="宋体"/>
                <w:color w:val="000000"/>
                <w:kern w:val="0"/>
                <w:sz w:val="28"/>
                <w:szCs w:val="28"/>
                <w:shd w:val="clear" w:color="auto" w:fill="auto"/>
                <w:lang w:val="en-US" w:eastAsia="zh-CN"/>
              </w:rPr>
              <w:t>0</w:t>
            </w:r>
          </w:p>
        </w:tc>
        <w:tc>
          <w:tcPr>
            <w:tcW w:w="2206" w:type="dxa"/>
            <w:tcBorders>
              <w:top w:val="nil"/>
              <w:left w:val="nil"/>
              <w:bottom w:val="single" w:color="auto" w:sz="8" w:space="0"/>
              <w:right w:val="single" w:color="auto" w:sz="8"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宋体" w:eastAsia="仿宋_GB2312" w:cs="宋体"/>
                <w:color w:val="000000"/>
                <w:kern w:val="0"/>
                <w:sz w:val="28"/>
                <w:szCs w:val="28"/>
                <w:shd w:val="clear" w:color="auto" w:fill="auto"/>
                <w:lang w:val="en-US" w:eastAsia="zh-CN"/>
              </w:rPr>
            </w:pPr>
            <w:r>
              <w:rPr>
                <w:rFonts w:hint="eastAsia" w:ascii="仿宋_GB2312" w:hAnsi="宋体" w:eastAsia="仿宋_GB2312" w:cs="宋体"/>
                <w:color w:val="000000"/>
                <w:kern w:val="0"/>
                <w:sz w:val="28"/>
                <w:szCs w:val="28"/>
                <w:shd w:val="clear" w:color="auto" w:fill="auto"/>
                <w:lang w:val="en-US" w:eastAsia="zh-CN"/>
              </w:rPr>
              <w:t>0</w:t>
            </w:r>
          </w:p>
        </w:tc>
        <w:tc>
          <w:tcPr>
            <w:tcW w:w="2206" w:type="dxa"/>
            <w:tcBorders>
              <w:top w:val="nil"/>
              <w:left w:val="nil"/>
              <w:bottom w:val="single" w:color="auto" w:sz="8" w:space="0"/>
              <w:right w:val="single" w:color="auto" w:sz="8"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Calibri" w:eastAsia="仿宋_GB2312" w:cs="Calibri"/>
                <w:color w:val="000000"/>
                <w:kern w:val="0"/>
                <w:sz w:val="28"/>
                <w:szCs w:val="28"/>
                <w:shd w:val="clear" w:color="auto" w:fill="auto"/>
                <w:lang w:val="en-US" w:eastAsia="zh-CN"/>
              </w:rPr>
            </w:pPr>
            <w:r>
              <w:rPr>
                <w:rFonts w:hint="eastAsia" w:ascii="仿宋_GB2312" w:hAnsi="Calibri" w:eastAsia="仿宋_GB2312" w:cs="Calibri"/>
                <w:color w:val="000000"/>
                <w:kern w:val="0"/>
                <w:sz w:val="28"/>
                <w:szCs w:val="28"/>
                <w:shd w:val="clear" w:color="auto" w:fill="auto"/>
                <w:lang w:val="en-US" w:eastAsia="zh-CN"/>
              </w:rPr>
              <w:t>0</w:t>
            </w:r>
          </w:p>
        </w:tc>
      </w:tr>
      <w:tr>
        <w:tblPrEx>
          <w:tblCellMar>
            <w:top w:w="0" w:type="dxa"/>
            <w:left w:w="108" w:type="dxa"/>
            <w:bottom w:w="0" w:type="dxa"/>
            <w:right w:w="108" w:type="dxa"/>
          </w:tblCellMar>
        </w:tblPrEx>
        <w:trPr>
          <w:trHeight w:val="794" w:hRule="atLeast"/>
        </w:trPr>
        <w:tc>
          <w:tcPr>
            <w:tcW w:w="2206" w:type="dxa"/>
            <w:tcBorders>
              <w:top w:val="nil"/>
              <w:left w:val="single" w:color="auto" w:sz="8" w:space="0"/>
              <w:bottom w:val="single" w:color="auto" w:sz="8" w:space="0"/>
              <w:right w:val="single" w:color="auto" w:sz="8"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ascii="仿宋_GB2312" w:hAnsi="宋体" w:eastAsia="仿宋_GB2312" w:cs="宋体"/>
                <w:color w:val="000000"/>
                <w:kern w:val="0"/>
                <w:sz w:val="28"/>
                <w:szCs w:val="28"/>
                <w:shd w:val="clear" w:color="auto" w:fill="auto"/>
              </w:rPr>
            </w:pPr>
            <w:r>
              <w:rPr>
                <w:rFonts w:hint="eastAsia" w:ascii="仿宋_GB2312" w:hAnsi="宋体" w:eastAsia="仿宋_GB2312" w:cs="宋体"/>
                <w:color w:val="000000"/>
                <w:kern w:val="0"/>
                <w:sz w:val="28"/>
                <w:szCs w:val="28"/>
                <w:shd w:val="clear" w:color="auto" w:fill="auto"/>
              </w:rPr>
              <w:t>行政规范性文件</w:t>
            </w:r>
          </w:p>
        </w:tc>
        <w:tc>
          <w:tcPr>
            <w:tcW w:w="2206" w:type="dxa"/>
            <w:tcBorders>
              <w:top w:val="nil"/>
              <w:left w:val="nil"/>
              <w:bottom w:val="single" w:color="auto" w:sz="8" w:space="0"/>
              <w:right w:val="single" w:color="auto" w:sz="8"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宋体" w:eastAsia="仿宋_GB2312" w:cs="宋体"/>
                <w:color w:val="000000"/>
                <w:kern w:val="0"/>
                <w:sz w:val="28"/>
                <w:szCs w:val="28"/>
                <w:shd w:val="clear" w:color="auto" w:fill="auto"/>
                <w:lang w:val="en-US" w:eastAsia="zh-CN"/>
              </w:rPr>
            </w:pPr>
            <w:r>
              <w:rPr>
                <w:rFonts w:hint="eastAsia" w:ascii="仿宋_GB2312" w:hAnsi="宋体" w:eastAsia="仿宋_GB2312" w:cs="宋体"/>
                <w:color w:val="000000"/>
                <w:kern w:val="0"/>
                <w:sz w:val="28"/>
                <w:szCs w:val="28"/>
                <w:shd w:val="clear" w:color="auto" w:fill="auto"/>
                <w:lang w:val="en-US" w:eastAsia="zh-CN"/>
              </w:rPr>
              <w:t>0</w:t>
            </w:r>
          </w:p>
        </w:tc>
        <w:tc>
          <w:tcPr>
            <w:tcW w:w="2206" w:type="dxa"/>
            <w:tcBorders>
              <w:top w:val="nil"/>
              <w:left w:val="nil"/>
              <w:bottom w:val="single" w:color="auto" w:sz="8" w:space="0"/>
              <w:right w:val="single" w:color="auto" w:sz="8"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宋体" w:eastAsia="仿宋_GB2312" w:cs="宋体"/>
                <w:color w:val="000000"/>
                <w:kern w:val="0"/>
                <w:sz w:val="28"/>
                <w:szCs w:val="28"/>
                <w:shd w:val="clear" w:color="auto" w:fill="auto"/>
                <w:lang w:val="en-US" w:eastAsia="zh-CN"/>
              </w:rPr>
            </w:pPr>
            <w:r>
              <w:rPr>
                <w:rFonts w:hint="eastAsia" w:ascii="仿宋_GB2312" w:hAnsi="宋体" w:eastAsia="仿宋_GB2312" w:cs="宋体"/>
                <w:color w:val="000000"/>
                <w:kern w:val="0"/>
                <w:sz w:val="28"/>
                <w:szCs w:val="28"/>
                <w:shd w:val="clear" w:color="auto" w:fill="auto"/>
                <w:lang w:val="en-US" w:eastAsia="zh-CN"/>
              </w:rPr>
              <w:t>0</w:t>
            </w:r>
          </w:p>
        </w:tc>
        <w:tc>
          <w:tcPr>
            <w:tcW w:w="2206" w:type="dxa"/>
            <w:tcBorders>
              <w:top w:val="nil"/>
              <w:left w:val="nil"/>
              <w:bottom w:val="single" w:color="auto" w:sz="8" w:space="0"/>
              <w:right w:val="single" w:color="auto" w:sz="8"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Calibri" w:eastAsia="仿宋_GB2312" w:cs="Calibri"/>
                <w:color w:val="000000"/>
                <w:kern w:val="0"/>
                <w:sz w:val="28"/>
                <w:szCs w:val="28"/>
                <w:shd w:val="clear" w:color="auto" w:fill="auto"/>
                <w:lang w:val="en-US" w:eastAsia="zh-CN"/>
              </w:rPr>
            </w:pPr>
            <w:r>
              <w:rPr>
                <w:rFonts w:hint="eastAsia" w:ascii="仿宋_GB2312" w:hAnsi="Calibri" w:eastAsia="仿宋_GB2312" w:cs="Calibri"/>
                <w:color w:val="000000"/>
                <w:kern w:val="0"/>
                <w:sz w:val="28"/>
                <w:szCs w:val="28"/>
                <w:shd w:val="clear" w:color="auto" w:fill="auto"/>
                <w:lang w:val="en-US" w:eastAsia="zh-CN"/>
              </w:rPr>
              <w:t>0</w:t>
            </w:r>
          </w:p>
        </w:tc>
      </w:tr>
      <w:tr>
        <w:tblPrEx>
          <w:tblCellMar>
            <w:top w:w="0" w:type="dxa"/>
            <w:left w:w="108" w:type="dxa"/>
            <w:bottom w:w="0" w:type="dxa"/>
            <w:right w:w="108" w:type="dxa"/>
          </w:tblCellMar>
        </w:tblPrEx>
        <w:trPr>
          <w:trHeight w:val="794"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ascii="黑体" w:hAnsi="黑体" w:eastAsia="黑体" w:cs="宋体"/>
                <w:color w:val="000000"/>
                <w:kern w:val="0"/>
                <w:sz w:val="28"/>
                <w:szCs w:val="28"/>
                <w:shd w:val="clear" w:color="auto" w:fill="auto"/>
              </w:rPr>
            </w:pPr>
            <w:r>
              <w:rPr>
                <w:rFonts w:hint="eastAsia" w:ascii="黑体" w:hAnsi="黑体" w:eastAsia="黑体" w:cs="宋体"/>
                <w:color w:val="000000"/>
                <w:kern w:val="0"/>
                <w:sz w:val="28"/>
                <w:szCs w:val="28"/>
                <w:shd w:val="clear" w:color="auto" w:fill="auto"/>
              </w:rPr>
              <w:t>第二十条第（五）项</w:t>
            </w:r>
          </w:p>
        </w:tc>
      </w:tr>
      <w:tr>
        <w:tblPrEx>
          <w:tblCellMar>
            <w:top w:w="0" w:type="dxa"/>
            <w:left w:w="108" w:type="dxa"/>
            <w:bottom w:w="0" w:type="dxa"/>
            <w:right w:w="108" w:type="dxa"/>
          </w:tblCellMar>
        </w:tblPrEx>
        <w:trPr>
          <w:trHeight w:val="794" w:hRule="atLeast"/>
        </w:trPr>
        <w:tc>
          <w:tcPr>
            <w:tcW w:w="2206" w:type="dxa"/>
            <w:tcBorders>
              <w:top w:val="nil"/>
              <w:left w:val="single" w:color="auto" w:sz="8" w:space="0"/>
              <w:bottom w:val="single" w:color="auto" w:sz="8" w:space="0"/>
              <w:right w:val="single" w:color="auto" w:sz="8"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ascii="仿宋_GB2312" w:hAnsi="宋体" w:eastAsia="仿宋_GB2312" w:cs="宋体"/>
                <w:color w:val="000000"/>
                <w:kern w:val="0"/>
                <w:sz w:val="28"/>
                <w:szCs w:val="28"/>
                <w:shd w:val="clear" w:color="auto" w:fill="auto"/>
              </w:rPr>
            </w:pPr>
            <w:r>
              <w:rPr>
                <w:rFonts w:hint="eastAsia" w:ascii="仿宋_GB2312" w:hAnsi="宋体" w:eastAsia="仿宋_GB2312" w:cs="宋体"/>
                <w:color w:val="000000"/>
                <w:kern w:val="0"/>
                <w:sz w:val="28"/>
                <w:szCs w:val="28"/>
                <w:shd w:val="clear" w:color="auto" w:fill="auto"/>
              </w:rPr>
              <w:t>信息内容</w:t>
            </w:r>
          </w:p>
        </w:tc>
        <w:tc>
          <w:tcPr>
            <w:tcW w:w="6618" w:type="dxa"/>
            <w:gridSpan w:val="3"/>
            <w:tcBorders>
              <w:top w:val="single" w:color="auto" w:sz="8" w:space="0"/>
              <w:left w:val="nil"/>
              <w:bottom w:val="single" w:color="auto" w:sz="8" w:space="0"/>
              <w:right w:val="single" w:color="000000" w:sz="8"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ascii="仿宋_GB2312" w:hAnsi="宋体" w:eastAsia="仿宋_GB2312" w:cs="宋体"/>
                <w:color w:val="000000"/>
                <w:kern w:val="0"/>
                <w:sz w:val="28"/>
                <w:szCs w:val="28"/>
                <w:shd w:val="clear" w:color="auto" w:fill="auto"/>
              </w:rPr>
            </w:pPr>
            <w:r>
              <w:rPr>
                <w:rFonts w:hint="eastAsia" w:ascii="仿宋_GB2312" w:hAnsi="宋体" w:eastAsia="仿宋_GB2312" w:cs="宋体"/>
                <w:color w:val="000000"/>
                <w:kern w:val="0"/>
                <w:sz w:val="28"/>
                <w:szCs w:val="28"/>
                <w:shd w:val="clear" w:color="auto" w:fill="auto"/>
              </w:rPr>
              <w:t>本年处理决定数量</w:t>
            </w:r>
          </w:p>
        </w:tc>
      </w:tr>
      <w:tr>
        <w:tblPrEx>
          <w:tblCellMar>
            <w:top w:w="0" w:type="dxa"/>
            <w:left w:w="108" w:type="dxa"/>
            <w:bottom w:w="0" w:type="dxa"/>
            <w:right w:w="108" w:type="dxa"/>
          </w:tblCellMar>
        </w:tblPrEx>
        <w:trPr>
          <w:trHeight w:val="794" w:hRule="atLeast"/>
        </w:trPr>
        <w:tc>
          <w:tcPr>
            <w:tcW w:w="2206" w:type="dxa"/>
            <w:tcBorders>
              <w:top w:val="nil"/>
              <w:left w:val="single" w:color="auto" w:sz="8" w:space="0"/>
              <w:bottom w:val="single" w:color="auto" w:sz="8" w:space="0"/>
              <w:right w:val="single" w:color="auto" w:sz="8"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ascii="仿宋_GB2312" w:hAnsi="宋体" w:eastAsia="仿宋_GB2312" w:cs="宋体"/>
                <w:color w:val="000000"/>
                <w:kern w:val="0"/>
                <w:sz w:val="28"/>
                <w:szCs w:val="28"/>
                <w:shd w:val="clear" w:color="auto" w:fill="auto"/>
              </w:rPr>
            </w:pPr>
            <w:r>
              <w:rPr>
                <w:rFonts w:hint="eastAsia" w:ascii="仿宋_GB2312" w:hAnsi="宋体" w:eastAsia="仿宋_GB2312" w:cs="宋体"/>
                <w:color w:val="000000"/>
                <w:kern w:val="0"/>
                <w:sz w:val="28"/>
                <w:szCs w:val="28"/>
                <w:shd w:val="clear" w:color="auto" w:fill="auto"/>
              </w:rPr>
              <w:t>行政许可</w:t>
            </w:r>
          </w:p>
        </w:tc>
        <w:tc>
          <w:tcPr>
            <w:tcW w:w="6618" w:type="dxa"/>
            <w:gridSpan w:val="3"/>
            <w:tcBorders>
              <w:top w:val="single" w:color="auto" w:sz="8" w:space="0"/>
              <w:left w:val="nil"/>
              <w:bottom w:val="single" w:color="auto" w:sz="8" w:space="0"/>
              <w:right w:val="single" w:color="000000" w:sz="8"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Calibri" w:eastAsia="仿宋_GB2312" w:cs="Calibri"/>
                <w:color w:val="000000"/>
                <w:kern w:val="0"/>
                <w:sz w:val="28"/>
                <w:szCs w:val="28"/>
                <w:shd w:val="clear" w:color="auto" w:fill="auto"/>
                <w:lang w:val="en-US" w:eastAsia="zh-CN"/>
              </w:rPr>
            </w:pPr>
            <w:r>
              <w:rPr>
                <w:rFonts w:hint="eastAsia" w:ascii="仿宋_GB2312" w:hAnsi="Calibri" w:eastAsia="仿宋_GB2312" w:cs="Calibri"/>
                <w:color w:val="000000"/>
                <w:kern w:val="0"/>
                <w:sz w:val="28"/>
                <w:szCs w:val="28"/>
                <w:shd w:val="clear" w:color="auto" w:fill="auto"/>
                <w:lang w:val="en-US" w:eastAsia="zh-CN"/>
              </w:rPr>
              <w:t>0</w:t>
            </w:r>
          </w:p>
        </w:tc>
      </w:tr>
      <w:tr>
        <w:tblPrEx>
          <w:tblCellMar>
            <w:top w:w="0" w:type="dxa"/>
            <w:left w:w="108" w:type="dxa"/>
            <w:bottom w:w="0" w:type="dxa"/>
            <w:right w:w="108" w:type="dxa"/>
          </w:tblCellMar>
        </w:tblPrEx>
        <w:trPr>
          <w:trHeight w:val="794"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ascii="黑体" w:hAnsi="黑体" w:eastAsia="黑体" w:cs="宋体"/>
                <w:color w:val="000000"/>
                <w:kern w:val="0"/>
                <w:sz w:val="28"/>
                <w:szCs w:val="28"/>
                <w:shd w:val="clear" w:color="auto" w:fill="auto"/>
              </w:rPr>
            </w:pPr>
            <w:r>
              <w:rPr>
                <w:rFonts w:hint="eastAsia" w:ascii="黑体" w:hAnsi="黑体" w:eastAsia="黑体" w:cs="宋体"/>
                <w:color w:val="000000"/>
                <w:kern w:val="0"/>
                <w:sz w:val="28"/>
                <w:szCs w:val="28"/>
                <w:shd w:val="clear" w:color="auto" w:fill="auto"/>
              </w:rPr>
              <w:t>第二十条第（六）项</w:t>
            </w:r>
          </w:p>
        </w:tc>
      </w:tr>
      <w:tr>
        <w:tblPrEx>
          <w:tblCellMar>
            <w:top w:w="0" w:type="dxa"/>
            <w:left w:w="108" w:type="dxa"/>
            <w:bottom w:w="0" w:type="dxa"/>
            <w:right w:w="108" w:type="dxa"/>
          </w:tblCellMar>
        </w:tblPrEx>
        <w:trPr>
          <w:trHeight w:val="794" w:hRule="atLeast"/>
        </w:trPr>
        <w:tc>
          <w:tcPr>
            <w:tcW w:w="2206" w:type="dxa"/>
            <w:tcBorders>
              <w:top w:val="nil"/>
              <w:left w:val="single" w:color="auto" w:sz="8" w:space="0"/>
              <w:bottom w:val="single" w:color="auto" w:sz="8" w:space="0"/>
              <w:right w:val="single" w:color="auto" w:sz="8"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ascii="仿宋_GB2312" w:hAnsi="宋体" w:eastAsia="仿宋_GB2312" w:cs="宋体"/>
                <w:color w:val="000000"/>
                <w:kern w:val="0"/>
                <w:sz w:val="28"/>
                <w:szCs w:val="28"/>
                <w:shd w:val="clear" w:color="auto" w:fill="auto"/>
              </w:rPr>
            </w:pPr>
            <w:r>
              <w:rPr>
                <w:rFonts w:hint="eastAsia" w:ascii="仿宋_GB2312" w:hAnsi="宋体" w:eastAsia="仿宋_GB2312" w:cs="宋体"/>
                <w:color w:val="000000"/>
                <w:kern w:val="0"/>
                <w:sz w:val="28"/>
                <w:szCs w:val="28"/>
                <w:shd w:val="clear" w:color="auto" w:fill="auto"/>
              </w:rPr>
              <w:t>信息内容</w:t>
            </w:r>
          </w:p>
        </w:tc>
        <w:tc>
          <w:tcPr>
            <w:tcW w:w="6618" w:type="dxa"/>
            <w:gridSpan w:val="3"/>
            <w:tcBorders>
              <w:top w:val="single" w:color="auto" w:sz="8" w:space="0"/>
              <w:left w:val="nil"/>
              <w:bottom w:val="single" w:color="auto" w:sz="8" w:space="0"/>
              <w:right w:val="single" w:color="000000" w:sz="8"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ascii="仿宋_GB2312" w:hAnsi="宋体" w:eastAsia="仿宋_GB2312" w:cs="宋体"/>
                <w:color w:val="000000"/>
                <w:kern w:val="0"/>
                <w:sz w:val="28"/>
                <w:szCs w:val="28"/>
                <w:shd w:val="clear" w:color="auto" w:fill="auto"/>
              </w:rPr>
            </w:pPr>
            <w:r>
              <w:rPr>
                <w:rFonts w:hint="eastAsia" w:ascii="仿宋_GB2312" w:hAnsi="宋体" w:eastAsia="仿宋_GB2312" w:cs="宋体"/>
                <w:color w:val="000000"/>
                <w:kern w:val="0"/>
                <w:sz w:val="28"/>
                <w:szCs w:val="28"/>
                <w:shd w:val="clear" w:color="auto" w:fill="auto"/>
              </w:rPr>
              <w:t>本年处理决定数量</w:t>
            </w:r>
          </w:p>
        </w:tc>
      </w:tr>
      <w:tr>
        <w:tblPrEx>
          <w:tblCellMar>
            <w:top w:w="0" w:type="dxa"/>
            <w:left w:w="108" w:type="dxa"/>
            <w:bottom w:w="0" w:type="dxa"/>
            <w:right w:w="108" w:type="dxa"/>
          </w:tblCellMar>
        </w:tblPrEx>
        <w:trPr>
          <w:trHeight w:val="794" w:hRule="atLeast"/>
        </w:trPr>
        <w:tc>
          <w:tcPr>
            <w:tcW w:w="2206" w:type="dxa"/>
            <w:tcBorders>
              <w:top w:val="nil"/>
              <w:left w:val="single" w:color="auto" w:sz="8" w:space="0"/>
              <w:bottom w:val="single" w:color="auto" w:sz="8" w:space="0"/>
              <w:right w:val="single" w:color="auto" w:sz="8"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ascii="仿宋_GB2312" w:hAnsi="宋体" w:eastAsia="仿宋_GB2312" w:cs="宋体"/>
                <w:color w:val="000000"/>
                <w:kern w:val="0"/>
                <w:sz w:val="28"/>
                <w:szCs w:val="28"/>
                <w:shd w:val="clear" w:color="auto" w:fill="auto"/>
              </w:rPr>
            </w:pPr>
            <w:r>
              <w:rPr>
                <w:rFonts w:hint="eastAsia" w:ascii="仿宋_GB2312" w:hAnsi="宋体" w:eastAsia="仿宋_GB2312" w:cs="宋体"/>
                <w:color w:val="000000"/>
                <w:kern w:val="0"/>
                <w:sz w:val="28"/>
                <w:szCs w:val="28"/>
                <w:shd w:val="clear" w:color="auto" w:fill="auto"/>
              </w:rPr>
              <w:t>行政处罚</w:t>
            </w:r>
          </w:p>
        </w:tc>
        <w:tc>
          <w:tcPr>
            <w:tcW w:w="6618" w:type="dxa"/>
            <w:gridSpan w:val="3"/>
            <w:tcBorders>
              <w:top w:val="single" w:color="auto" w:sz="8" w:space="0"/>
              <w:left w:val="nil"/>
              <w:bottom w:val="single" w:color="auto" w:sz="8" w:space="0"/>
              <w:right w:val="single" w:color="000000" w:sz="8"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宋体" w:eastAsia="仿宋_GB2312" w:cs="宋体"/>
                <w:color w:val="000000"/>
                <w:kern w:val="0"/>
                <w:sz w:val="28"/>
                <w:szCs w:val="28"/>
                <w:shd w:val="clear" w:color="auto" w:fill="auto"/>
                <w:lang w:val="en-US" w:eastAsia="zh-CN"/>
              </w:rPr>
            </w:pPr>
            <w:r>
              <w:rPr>
                <w:rFonts w:hint="eastAsia" w:ascii="仿宋_GB2312" w:hAnsi="宋体" w:eastAsia="仿宋_GB2312" w:cs="宋体"/>
                <w:color w:val="000000"/>
                <w:kern w:val="0"/>
                <w:sz w:val="28"/>
                <w:szCs w:val="28"/>
                <w:shd w:val="clear" w:color="auto" w:fill="auto"/>
                <w:lang w:val="en-US" w:eastAsia="zh-CN"/>
              </w:rPr>
              <w:t>0</w:t>
            </w:r>
          </w:p>
        </w:tc>
      </w:tr>
      <w:tr>
        <w:tblPrEx>
          <w:tblCellMar>
            <w:top w:w="0" w:type="dxa"/>
            <w:left w:w="108" w:type="dxa"/>
            <w:bottom w:w="0" w:type="dxa"/>
            <w:right w:w="108" w:type="dxa"/>
          </w:tblCellMar>
        </w:tblPrEx>
        <w:trPr>
          <w:trHeight w:val="794" w:hRule="atLeast"/>
        </w:trPr>
        <w:tc>
          <w:tcPr>
            <w:tcW w:w="2206" w:type="dxa"/>
            <w:tcBorders>
              <w:top w:val="nil"/>
              <w:left w:val="single" w:color="auto" w:sz="8" w:space="0"/>
              <w:bottom w:val="single" w:color="auto" w:sz="8" w:space="0"/>
              <w:right w:val="single" w:color="auto" w:sz="8"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ascii="仿宋_GB2312" w:hAnsi="宋体" w:eastAsia="仿宋_GB2312" w:cs="宋体"/>
                <w:color w:val="000000"/>
                <w:kern w:val="0"/>
                <w:sz w:val="28"/>
                <w:szCs w:val="28"/>
                <w:shd w:val="clear" w:color="auto" w:fill="auto"/>
              </w:rPr>
            </w:pPr>
            <w:r>
              <w:rPr>
                <w:rFonts w:hint="eastAsia" w:ascii="仿宋_GB2312" w:hAnsi="宋体" w:eastAsia="仿宋_GB2312" w:cs="宋体"/>
                <w:color w:val="000000"/>
                <w:kern w:val="0"/>
                <w:sz w:val="28"/>
                <w:szCs w:val="28"/>
                <w:shd w:val="clear" w:color="auto" w:fill="auto"/>
              </w:rPr>
              <w:t>行政强制</w:t>
            </w:r>
          </w:p>
        </w:tc>
        <w:tc>
          <w:tcPr>
            <w:tcW w:w="6618" w:type="dxa"/>
            <w:gridSpan w:val="3"/>
            <w:tcBorders>
              <w:top w:val="single" w:color="auto" w:sz="8" w:space="0"/>
              <w:left w:val="nil"/>
              <w:bottom w:val="single" w:color="auto" w:sz="8" w:space="0"/>
              <w:right w:val="single" w:color="000000" w:sz="8"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宋体" w:eastAsia="仿宋_GB2312" w:cs="宋体"/>
                <w:color w:val="000000"/>
                <w:kern w:val="0"/>
                <w:sz w:val="28"/>
                <w:szCs w:val="28"/>
                <w:shd w:val="clear" w:color="auto" w:fill="auto"/>
                <w:lang w:val="en-US" w:eastAsia="zh-CN"/>
              </w:rPr>
            </w:pPr>
            <w:r>
              <w:rPr>
                <w:rFonts w:hint="eastAsia" w:ascii="仿宋_GB2312" w:hAnsi="宋体" w:eastAsia="仿宋_GB2312" w:cs="宋体"/>
                <w:color w:val="000000"/>
                <w:kern w:val="0"/>
                <w:sz w:val="28"/>
                <w:szCs w:val="28"/>
                <w:shd w:val="clear" w:color="auto" w:fill="auto"/>
                <w:lang w:val="en-US" w:eastAsia="zh-CN"/>
              </w:rPr>
              <w:t>0</w:t>
            </w:r>
          </w:p>
        </w:tc>
      </w:tr>
      <w:tr>
        <w:tblPrEx>
          <w:tblCellMar>
            <w:top w:w="0" w:type="dxa"/>
            <w:left w:w="108" w:type="dxa"/>
            <w:bottom w:w="0" w:type="dxa"/>
            <w:right w:w="108" w:type="dxa"/>
          </w:tblCellMar>
        </w:tblPrEx>
        <w:trPr>
          <w:trHeight w:val="794"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ascii="黑体" w:hAnsi="黑体" w:eastAsia="黑体" w:cs="宋体"/>
                <w:color w:val="000000"/>
                <w:kern w:val="0"/>
                <w:sz w:val="28"/>
                <w:szCs w:val="28"/>
                <w:shd w:val="clear" w:color="auto" w:fill="auto"/>
              </w:rPr>
            </w:pPr>
            <w:r>
              <w:rPr>
                <w:rFonts w:hint="eastAsia" w:ascii="黑体" w:hAnsi="黑体" w:eastAsia="黑体" w:cs="宋体"/>
                <w:color w:val="000000"/>
                <w:kern w:val="0"/>
                <w:sz w:val="28"/>
                <w:szCs w:val="28"/>
                <w:shd w:val="clear" w:color="auto" w:fill="auto"/>
              </w:rPr>
              <w:t>第二十条第（八）项</w:t>
            </w:r>
          </w:p>
        </w:tc>
      </w:tr>
      <w:tr>
        <w:tblPrEx>
          <w:tblCellMar>
            <w:top w:w="0" w:type="dxa"/>
            <w:left w:w="108" w:type="dxa"/>
            <w:bottom w:w="0" w:type="dxa"/>
            <w:right w:w="108" w:type="dxa"/>
          </w:tblCellMar>
        </w:tblPrEx>
        <w:trPr>
          <w:trHeight w:val="794" w:hRule="atLeast"/>
        </w:trPr>
        <w:tc>
          <w:tcPr>
            <w:tcW w:w="2206" w:type="dxa"/>
            <w:tcBorders>
              <w:top w:val="nil"/>
              <w:left w:val="single" w:color="auto" w:sz="8" w:space="0"/>
              <w:bottom w:val="single" w:color="auto" w:sz="8" w:space="0"/>
              <w:right w:val="single" w:color="auto" w:sz="8"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ascii="仿宋_GB2312" w:hAnsi="宋体" w:eastAsia="仿宋_GB2312" w:cs="宋体"/>
                <w:color w:val="000000"/>
                <w:kern w:val="0"/>
                <w:sz w:val="28"/>
                <w:szCs w:val="28"/>
                <w:shd w:val="clear" w:color="auto" w:fill="auto"/>
              </w:rPr>
            </w:pPr>
            <w:r>
              <w:rPr>
                <w:rFonts w:hint="eastAsia" w:ascii="仿宋_GB2312" w:hAnsi="宋体" w:eastAsia="仿宋_GB2312" w:cs="宋体"/>
                <w:color w:val="000000"/>
                <w:kern w:val="0"/>
                <w:sz w:val="28"/>
                <w:szCs w:val="28"/>
                <w:shd w:val="clear" w:color="auto" w:fill="auto"/>
              </w:rPr>
              <w:t>信息内容</w:t>
            </w:r>
          </w:p>
        </w:tc>
        <w:tc>
          <w:tcPr>
            <w:tcW w:w="6618" w:type="dxa"/>
            <w:gridSpan w:val="3"/>
            <w:tcBorders>
              <w:top w:val="single" w:color="auto" w:sz="8" w:space="0"/>
              <w:left w:val="nil"/>
              <w:bottom w:val="single" w:color="auto" w:sz="8" w:space="0"/>
              <w:right w:val="single" w:color="000000" w:sz="8"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ascii="仿宋_GB2312" w:hAnsi="宋体" w:eastAsia="仿宋_GB2312" w:cs="宋体"/>
                <w:color w:val="000000"/>
                <w:kern w:val="0"/>
                <w:sz w:val="28"/>
                <w:szCs w:val="28"/>
                <w:shd w:val="clear" w:color="auto" w:fill="auto"/>
              </w:rPr>
            </w:pPr>
            <w:r>
              <w:rPr>
                <w:rFonts w:hint="eastAsia" w:ascii="仿宋_GB2312" w:hAnsi="宋体" w:eastAsia="仿宋_GB2312" w:cs="宋体"/>
                <w:color w:val="000000"/>
                <w:kern w:val="0"/>
                <w:sz w:val="28"/>
                <w:szCs w:val="28"/>
                <w:shd w:val="clear" w:color="auto" w:fill="auto"/>
              </w:rPr>
              <w:t>本年收费金额（单位：万元）</w:t>
            </w:r>
          </w:p>
        </w:tc>
      </w:tr>
      <w:tr>
        <w:tblPrEx>
          <w:tblCellMar>
            <w:top w:w="0" w:type="dxa"/>
            <w:left w:w="108" w:type="dxa"/>
            <w:bottom w:w="0" w:type="dxa"/>
            <w:right w:w="108" w:type="dxa"/>
          </w:tblCellMar>
        </w:tblPrEx>
        <w:trPr>
          <w:trHeight w:val="794" w:hRule="atLeast"/>
        </w:trPr>
        <w:tc>
          <w:tcPr>
            <w:tcW w:w="2206" w:type="dxa"/>
            <w:tcBorders>
              <w:top w:val="nil"/>
              <w:left w:val="single" w:color="auto" w:sz="8" w:space="0"/>
              <w:bottom w:val="single" w:color="auto" w:sz="8" w:space="0"/>
              <w:right w:val="single" w:color="auto" w:sz="8"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ascii="仿宋_GB2312" w:hAnsi="宋体" w:eastAsia="仿宋_GB2312" w:cs="宋体"/>
                <w:color w:val="000000"/>
                <w:kern w:val="0"/>
                <w:sz w:val="28"/>
                <w:szCs w:val="28"/>
                <w:shd w:val="clear" w:color="auto" w:fill="auto"/>
              </w:rPr>
            </w:pPr>
            <w:r>
              <w:rPr>
                <w:rFonts w:hint="eastAsia" w:ascii="仿宋_GB2312" w:hAnsi="宋体" w:eastAsia="仿宋_GB2312" w:cs="宋体"/>
                <w:color w:val="000000"/>
                <w:kern w:val="0"/>
                <w:sz w:val="28"/>
                <w:szCs w:val="28"/>
                <w:shd w:val="clear" w:color="auto" w:fill="auto"/>
              </w:rPr>
              <w:t>行政事业性收费</w:t>
            </w:r>
          </w:p>
        </w:tc>
        <w:tc>
          <w:tcPr>
            <w:tcW w:w="6618" w:type="dxa"/>
            <w:gridSpan w:val="3"/>
            <w:tcBorders>
              <w:top w:val="single" w:color="auto" w:sz="8" w:space="0"/>
              <w:left w:val="nil"/>
              <w:bottom w:val="single" w:color="auto" w:sz="8" w:space="0"/>
              <w:right w:val="single" w:color="000000" w:sz="8"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ascii="仿宋_GB2312" w:hAnsi="Calibri" w:eastAsia="仿宋_GB2312" w:cs="Calibri"/>
                <w:color w:val="000000"/>
                <w:kern w:val="0"/>
                <w:sz w:val="28"/>
                <w:szCs w:val="28"/>
                <w:shd w:val="clear" w:color="auto" w:fill="auto"/>
              </w:rPr>
            </w:pPr>
            <w:r>
              <w:rPr>
                <w:rFonts w:hint="eastAsia" w:ascii="仿宋_GB2312" w:hAnsi="Calibri" w:eastAsia="仿宋_GB2312" w:cs="Calibri"/>
                <w:color w:val="000000"/>
                <w:kern w:val="0"/>
                <w:sz w:val="28"/>
                <w:szCs w:val="28"/>
                <w:shd w:val="clear" w:color="auto" w:fill="auto"/>
              </w:rPr>
              <w:t>586</w:t>
            </w:r>
            <w:r>
              <w:rPr>
                <w:rFonts w:hint="eastAsia" w:ascii="仿宋_GB2312" w:hAnsi="Calibri" w:eastAsia="仿宋_GB2312" w:cs="Calibri"/>
                <w:color w:val="000000"/>
                <w:kern w:val="0"/>
                <w:sz w:val="28"/>
                <w:szCs w:val="28"/>
                <w:shd w:val="clear" w:color="auto" w:fill="auto"/>
                <w:lang w:val="en-US" w:eastAsia="zh-CN"/>
              </w:rPr>
              <w:t>.</w:t>
            </w:r>
            <w:r>
              <w:rPr>
                <w:rFonts w:hint="eastAsia" w:ascii="仿宋_GB2312" w:hAnsi="Calibri" w:eastAsia="仿宋_GB2312" w:cs="Calibri"/>
                <w:color w:val="000000"/>
                <w:kern w:val="0"/>
                <w:sz w:val="28"/>
                <w:szCs w:val="28"/>
                <w:shd w:val="clear" w:color="auto" w:fill="auto"/>
              </w:rPr>
              <w:t>388603</w:t>
            </w:r>
          </w:p>
        </w:tc>
      </w:tr>
    </w:tbl>
    <w:p>
      <w:pPr>
        <w:keepNext w:val="0"/>
        <w:keepLines w:val="0"/>
        <w:pageBreakBefore w:val="0"/>
        <w:kinsoku/>
        <w:wordWrap/>
        <w:overflowPunct/>
        <w:topLinePunct w:val="0"/>
        <w:autoSpaceDE/>
        <w:autoSpaceDN/>
        <w:bidi w:val="0"/>
        <w:adjustRightInd/>
        <w:snapToGrid/>
        <w:spacing w:line="240" w:lineRule="auto"/>
        <w:ind w:left="0" w:firstLine="0" w:firstLineChars="0"/>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br w:type="page"/>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黑体" w:hAnsi="黑体" w:eastAsia="黑体" w:cs="黑体"/>
          <w:b w:val="0"/>
          <w:bCs w:val="0"/>
          <w:i w:val="0"/>
          <w:iCs w:val="0"/>
          <w:caps w:val="0"/>
          <w:color w:val="auto"/>
          <w:spacing w:val="0"/>
          <w:sz w:val="32"/>
          <w:szCs w:val="32"/>
          <w:shd w:val="clear" w:fill="FFFFFF"/>
          <w:vertAlign w:val="baseline"/>
        </w:rPr>
      </w:pPr>
      <w:r>
        <w:rPr>
          <w:rFonts w:hint="eastAsia" w:ascii="黑体" w:hAnsi="黑体" w:eastAsia="黑体" w:cs="黑体"/>
          <w:b w:val="0"/>
          <w:bCs w:val="0"/>
          <w:i w:val="0"/>
          <w:iCs w:val="0"/>
          <w:caps w:val="0"/>
          <w:color w:val="auto"/>
          <w:spacing w:val="0"/>
          <w:sz w:val="32"/>
          <w:szCs w:val="32"/>
          <w:shd w:val="clear" w:fill="FFFFFF"/>
          <w:vertAlign w:val="baseline"/>
        </w:rPr>
        <w:t>三、收到和处理政府信息公开申请情况</w:t>
      </w:r>
    </w:p>
    <w:tbl>
      <w:tblPr>
        <w:tblStyle w:val="5"/>
        <w:tblW w:w="943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538"/>
        <w:gridCol w:w="653"/>
        <w:gridCol w:w="667"/>
        <w:gridCol w:w="626"/>
        <w:gridCol w:w="734"/>
        <w:gridCol w:w="453"/>
        <w:gridCol w:w="6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5093" w:type="dxa"/>
            <w:gridSpan w:val="3"/>
            <w:vMerge w:val="restart"/>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楷体_GB2312" w:hAnsi="黑体" w:eastAsia="楷体_GB2312"/>
                <w:kern w:val="0"/>
                <w:sz w:val="20"/>
                <w:szCs w:val="20"/>
              </w:rPr>
            </w:pPr>
            <w:r>
              <w:rPr>
                <w:rFonts w:hint="eastAsia" w:ascii="楷体_GB2312" w:hAnsi="黑体" w:eastAsia="楷体_GB2312"/>
                <w:kern w:val="0"/>
                <w:sz w:val="20"/>
                <w:szCs w:val="20"/>
              </w:rPr>
              <w:t>（本列数据的勾稽关系为：第一项加第二项之和，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仿宋_GB2312" w:hAnsi="Times New Roman" w:eastAsia="仿宋_GB2312"/>
                <w:sz w:val="20"/>
                <w:szCs w:val="20"/>
              </w:rPr>
            </w:pPr>
            <w:r>
              <w:rPr>
                <w:rFonts w:hint="eastAsia" w:ascii="楷体_GB2312" w:hAnsi="黑体" w:eastAsia="楷体_GB2312"/>
                <w:kern w:val="0"/>
                <w:sz w:val="20"/>
                <w:szCs w:val="20"/>
              </w:rPr>
              <w:t>等于第三项加第四项之和）</w:t>
            </w:r>
          </w:p>
        </w:tc>
        <w:tc>
          <w:tcPr>
            <w:tcW w:w="4338" w:type="dxa"/>
            <w:gridSpan w:val="7"/>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黑体" w:hAnsi="黑体" w:eastAsia="黑体"/>
                <w:sz w:val="20"/>
                <w:szCs w:val="20"/>
              </w:rPr>
            </w:pPr>
            <w:r>
              <w:rPr>
                <w:rFonts w:hint="eastAsia" w:ascii="黑体" w:hAnsi="黑体" w:eastAsia="黑体"/>
                <w:kern w:val="0"/>
                <w:sz w:val="20"/>
                <w:szCs w:val="20"/>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5093" w:type="dxa"/>
            <w:gridSpan w:val="3"/>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仿宋_GB2312" w:hAnsi="Times New Roman" w:eastAsia="仿宋_GB2312"/>
                <w:sz w:val="20"/>
                <w:szCs w:val="20"/>
              </w:rPr>
            </w:pPr>
          </w:p>
        </w:tc>
        <w:tc>
          <w:tcPr>
            <w:tcW w:w="538" w:type="dxa"/>
            <w:vMerge w:val="restart"/>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黑体" w:hAnsi="黑体" w:eastAsia="黑体"/>
                <w:sz w:val="20"/>
                <w:szCs w:val="20"/>
              </w:rPr>
            </w:pPr>
            <w:r>
              <w:rPr>
                <w:rFonts w:hint="eastAsia" w:ascii="黑体" w:hAnsi="黑体" w:eastAsia="黑体"/>
                <w:kern w:val="0"/>
                <w:sz w:val="20"/>
                <w:szCs w:val="20"/>
              </w:rPr>
              <w:t>自然人</w:t>
            </w:r>
          </w:p>
        </w:tc>
        <w:tc>
          <w:tcPr>
            <w:tcW w:w="3133" w:type="dxa"/>
            <w:gridSpan w:val="5"/>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黑体" w:hAnsi="黑体" w:eastAsia="黑体"/>
                <w:sz w:val="20"/>
                <w:szCs w:val="20"/>
              </w:rPr>
            </w:pPr>
            <w:r>
              <w:rPr>
                <w:rFonts w:hint="eastAsia" w:ascii="黑体" w:hAnsi="黑体" w:eastAsia="黑体"/>
                <w:kern w:val="0"/>
                <w:sz w:val="20"/>
                <w:szCs w:val="20"/>
              </w:rPr>
              <w:t>法人或其他组织</w:t>
            </w:r>
          </w:p>
        </w:tc>
        <w:tc>
          <w:tcPr>
            <w:tcW w:w="667" w:type="dxa"/>
            <w:vMerge w:val="restart"/>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黑体" w:hAnsi="黑体" w:eastAsia="黑体"/>
                <w:sz w:val="20"/>
                <w:szCs w:val="20"/>
              </w:rPr>
            </w:pPr>
            <w:r>
              <w:rPr>
                <w:rFonts w:hint="eastAsia" w:ascii="黑体" w:hAnsi="黑体" w:eastAsia="黑体"/>
                <w:kern w:val="0"/>
                <w:sz w:val="20"/>
                <w:szCs w:val="20"/>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46" w:hRule="atLeast"/>
          <w:jc w:val="center"/>
        </w:trPr>
        <w:tc>
          <w:tcPr>
            <w:tcW w:w="5093" w:type="dxa"/>
            <w:gridSpan w:val="3"/>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仿宋_GB2312" w:hAnsi="Times New Roman" w:eastAsia="仿宋_GB2312"/>
                <w:sz w:val="20"/>
                <w:szCs w:val="20"/>
              </w:rPr>
            </w:pPr>
          </w:p>
        </w:tc>
        <w:tc>
          <w:tcPr>
            <w:tcW w:w="538"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黑体" w:hAnsi="黑体" w:eastAsia="黑体"/>
                <w:sz w:val="20"/>
                <w:szCs w:val="20"/>
              </w:rPr>
            </w:pPr>
          </w:p>
        </w:tc>
        <w:tc>
          <w:tcPr>
            <w:tcW w:w="653"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黑体" w:hAnsi="黑体" w:eastAsia="黑体"/>
                <w:sz w:val="20"/>
                <w:szCs w:val="20"/>
              </w:rPr>
            </w:pPr>
            <w:r>
              <w:rPr>
                <w:rFonts w:hint="eastAsia" w:ascii="黑体" w:hAnsi="黑体" w:eastAsia="黑体"/>
                <w:kern w:val="0"/>
                <w:sz w:val="20"/>
                <w:szCs w:val="20"/>
              </w:rPr>
              <w:t>商业企业</w:t>
            </w:r>
          </w:p>
        </w:tc>
        <w:tc>
          <w:tcPr>
            <w:tcW w:w="6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黑体" w:hAnsi="黑体" w:eastAsia="黑体"/>
                <w:sz w:val="20"/>
                <w:szCs w:val="20"/>
              </w:rPr>
            </w:pPr>
            <w:r>
              <w:rPr>
                <w:rFonts w:hint="eastAsia" w:ascii="黑体" w:hAnsi="黑体" w:eastAsia="黑体"/>
                <w:kern w:val="0"/>
                <w:sz w:val="20"/>
                <w:szCs w:val="20"/>
              </w:rPr>
              <w:t>科研机构</w:t>
            </w:r>
          </w:p>
        </w:tc>
        <w:tc>
          <w:tcPr>
            <w:tcW w:w="62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黑体" w:hAnsi="黑体" w:eastAsia="黑体"/>
                <w:sz w:val="20"/>
                <w:szCs w:val="20"/>
              </w:rPr>
            </w:pPr>
            <w:r>
              <w:rPr>
                <w:rFonts w:hint="eastAsia" w:ascii="黑体" w:hAnsi="黑体" w:eastAsia="黑体"/>
                <w:kern w:val="0"/>
                <w:sz w:val="20"/>
                <w:szCs w:val="20"/>
              </w:rPr>
              <w:t>社会公益组织</w:t>
            </w:r>
          </w:p>
        </w:tc>
        <w:tc>
          <w:tcPr>
            <w:tcW w:w="734"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黑体" w:hAnsi="黑体" w:eastAsia="黑体"/>
                <w:sz w:val="20"/>
                <w:szCs w:val="20"/>
              </w:rPr>
            </w:pPr>
            <w:r>
              <w:rPr>
                <w:rFonts w:hint="eastAsia" w:ascii="黑体" w:hAnsi="黑体" w:eastAsia="黑体"/>
                <w:kern w:val="0"/>
                <w:sz w:val="20"/>
                <w:szCs w:val="20"/>
              </w:rPr>
              <w:t>法律服务机构</w:t>
            </w:r>
          </w:p>
        </w:tc>
        <w:tc>
          <w:tcPr>
            <w:tcW w:w="453"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黑体" w:hAnsi="黑体" w:eastAsia="黑体"/>
                <w:sz w:val="20"/>
                <w:szCs w:val="20"/>
              </w:rPr>
            </w:pPr>
            <w:r>
              <w:rPr>
                <w:rFonts w:hint="eastAsia" w:ascii="黑体" w:hAnsi="黑体" w:eastAsia="黑体"/>
                <w:kern w:val="0"/>
                <w:sz w:val="20"/>
                <w:szCs w:val="20"/>
              </w:rPr>
              <w:t>其他</w:t>
            </w:r>
          </w:p>
        </w:tc>
        <w:tc>
          <w:tcPr>
            <w:tcW w:w="667"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仿宋_GB2312" w:hAnsi="Times New Roman" w:eastAsia="仿宋_GB2312"/>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1" w:hRule="atLeast"/>
          <w:jc w:val="center"/>
        </w:trPr>
        <w:tc>
          <w:tcPr>
            <w:tcW w:w="5093" w:type="dxa"/>
            <w:gridSpan w:val="3"/>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黑体" w:hAnsi="黑体" w:eastAsia="黑体"/>
                <w:sz w:val="20"/>
                <w:szCs w:val="20"/>
              </w:rPr>
            </w:pPr>
            <w:r>
              <w:rPr>
                <w:rFonts w:hint="eastAsia" w:ascii="黑体" w:hAnsi="黑体" w:eastAsia="黑体"/>
                <w:kern w:val="0"/>
                <w:sz w:val="20"/>
                <w:szCs w:val="20"/>
              </w:rPr>
              <w:t>一、</w:t>
            </w:r>
            <w:bookmarkStart w:id="0" w:name="_Hlk66973412"/>
            <w:r>
              <w:rPr>
                <w:rFonts w:hint="eastAsia" w:ascii="黑体" w:hAnsi="黑体" w:eastAsia="黑体"/>
                <w:kern w:val="0"/>
                <w:sz w:val="20"/>
                <w:szCs w:val="20"/>
              </w:rPr>
              <w:t>本年新收政府信息公开申请数量</w:t>
            </w:r>
            <w:bookmarkEnd w:id="0"/>
          </w:p>
        </w:tc>
        <w:tc>
          <w:tcPr>
            <w:tcW w:w="53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仿宋_GB2312" w:hAnsi="Times New Roman" w:eastAsia="仿宋_GB2312"/>
                <w:sz w:val="20"/>
                <w:szCs w:val="20"/>
                <w:lang w:val="en-US" w:eastAsia="zh-CN"/>
              </w:rPr>
            </w:pPr>
            <w:r>
              <w:rPr>
                <w:rFonts w:hint="eastAsia" w:ascii="仿宋_GB2312" w:hAnsi="Times New Roman" w:eastAsia="仿宋_GB2312"/>
                <w:sz w:val="20"/>
                <w:szCs w:val="20"/>
                <w:lang w:val="en-US" w:eastAsia="zh-CN"/>
              </w:rPr>
              <w:t>15</w:t>
            </w:r>
          </w:p>
        </w:tc>
        <w:tc>
          <w:tcPr>
            <w:tcW w:w="653"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sz w:val="20"/>
                <w:szCs w:val="20"/>
                <w:lang w:val="en-US" w:eastAsia="zh-CN"/>
              </w:rPr>
            </w:pPr>
            <w:r>
              <w:rPr>
                <w:rFonts w:hint="eastAsia" w:ascii="仿宋_GB2312" w:hAnsi="Times New Roman" w:eastAsia="仿宋_GB2312"/>
                <w:sz w:val="20"/>
                <w:szCs w:val="20"/>
                <w:lang w:val="en-US" w:eastAsia="zh-CN"/>
              </w:rPr>
              <w:t>0</w:t>
            </w:r>
          </w:p>
        </w:tc>
        <w:tc>
          <w:tcPr>
            <w:tcW w:w="6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sz w:val="20"/>
                <w:szCs w:val="20"/>
                <w:lang w:val="en-US" w:eastAsia="zh-CN"/>
              </w:rPr>
            </w:pPr>
            <w:r>
              <w:rPr>
                <w:rFonts w:hint="eastAsia" w:ascii="仿宋_GB2312" w:hAnsi="Times New Roman" w:eastAsia="仿宋_GB2312"/>
                <w:sz w:val="20"/>
                <w:szCs w:val="20"/>
                <w:lang w:val="en-US" w:eastAsia="zh-CN"/>
              </w:rPr>
              <w:t>0</w:t>
            </w:r>
          </w:p>
        </w:tc>
        <w:tc>
          <w:tcPr>
            <w:tcW w:w="62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sz w:val="20"/>
                <w:szCs w:val="20"/>
                <w:lang w:val="en-US" w:eastAsia="zh-CN"/>
              </w:rPr>
            </w:pPr>
            <w:r>
              <w:rPr>
                <w:rFonts w:hint="eastAsia" w:ascii="仿宋_GB2312" w:hAnsi="Times New Roman" w:eastAsia="仿宋_GB2312"/>
                <w:sz w:val="20"/>
                <w:szCs w:val="20"/>
                <w:lang w:val="en-US" w:eastAsia="zh-CN"/>
              </w:rPr>
              <w:t>0</w:t>
            </w:r>
          </w:p>
        </w:tc>
        <w:tc>
          <w:tcPr>
            <w:tcW w:w="734"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sz w:val="20"/>
                <w:szCs w:val="20"/>
                <w:lang w:val="en-US" w:eastAsia="zh-CN"/>
              </w:rPr>
            </w:pPr>
            <w:r>
              <w:rPr>
                <w:rFonts w:hint="eastAsia" w:ascii="仿宋_GB2312" w:hAnsi="Times New Roman" w:eastAsia="仿宋_GB2312"/>
                <w:sz w:val="20"/>
                <w:szCs w:val="20"/>
                <w:lang w:val="en-US" w:eastAsia="zh-CN"/>
              </w:rPr>
              <w:t>0</w:t>
            </w:r>
          </w:p>
        </w:tc>
        <w:tc>
          <w:tcPr>
            <w:tcW w:w="453"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sz w:val="20"/>
                <w:szCs w:val="20"/>
                <w:lang w:val="en-US" w:eastAsia="zh-CN"/>
              </w:rPr>
            </w:pPr>
            <w:r>
              <w:rPr>
                <w:rFonts w:hint="eastAsia" w:ascii="仿宋_GB2312" w:hAnsi="Times New Roman" w:eastAsia="仿宋_GB2312"/>
                <w:sz w:val="20"/>
                <w:szCs w:val="20"/>
                <w:lang w:val="en-US" w:eastAsia="zh-CN"/>
              </w:rPr>
              <w:t>0</w:t>
            </w:r>
          </w:p>
        </w:tc>
        <w:tc>
          <w:tcPr>
            <w:tcW w:w="6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仿宋_GB2312" w:hAnsi="Times New Roman" w:eastAsia="仿宋_GB2312"/>
                <w:sz w:val="20"/>
                <w:szCs w:val="20"/>
                <w:lang w:val="en-US" w:eastAsia="zh-CN"/>
              </w:rPr>
            </w:pPr>
            <w:r>
              <w:rPr>
                <w:rFonts w:hint="eastAsia" w:ascii="仿宋_GB2312" w:hAnsi="Times New Roman" w:eastAsia="仿宋_GB2312"/>
                <w:sz w:val="20"/>
                <w:szCs w:val="20"/>
                <w:lang w:val="en-US" w:eastAsia="zh-CN"/>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5093" w:type="dxa"/>
            <w:gridSpan w:val="3"/>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黑体" w:hAnsi="黑体" w:eastAsia="黑体"/>
                <w:sz w:val="20"/>
                <w:szCs w:val="20"/>
              </w:rPr>
            </w:pPr>
            <w:r>
              <w:rPr>
                <w:rFonts w:hint="eastAsia" w:ascii="黑体" w:hAnsi="黑体" w:eastAsia="黑体"/>
                <w:kern w:val="0"/>
                <w:sz w:val="20"/>
                <w:szCs w:val="20"/>
              </w:rPr>
              <w:t>二、上年结转政府信息公开申请数量</w:t>
            </w:r>
          </w:p>
        </w:tc>
        <w:tc>
          <w:tcPr>
            <w:tcW w:w="53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sz w:val="20"/>
                <w:szCs w:val="20"/>
                <w:lang w:val="en-US" w:eastAsia="zh-CN"/>
              </w:rPr>
            </w:pPr>
            <w:r>
              <w:rPr>
                <w:rFonts w:hint="eastAsia" w:ascii="仿宋_GB2312" w:hAnsi="Times New Roman" w:eastAsia="仿宋_GB2312"/>
                <w:sz w:val="20"/>
                <w:szCs w:val="20"/>
                <w:lang w:val="en-US" w:eastAsia="zh-CN"/>
              </w:rPr>
              <w:t>0</w:t>
            </w:r>
          </w:p>
        </w:tc>
        <w:tc>
          <w:tcPr>
            <w:tcW w:w="653"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sz w:val="20"/>
                <w:szCs w:val="20"/>
                <w:lang w:val="en-US" w:eastAsia="zh-CN"/>
              </w:rPr>
            </w:pPr>
            <w:r>
              <w:rPr>
                <w:rFonts w:hint="eastAsia" w:ascii="仿宋_GB2312" w:hAnsi="Times New Roman" w:eastAsia="仿宋_GB2312"/>
                <w:sz w:val="20"/>
                <w:szCs w:val="20"/>
                <w:lang w:val="en-US" w:eastAsia="zh-CN"/>
              </w:rPr>
              <w:t>0</w:t>
            </w:r>
          </w:p>
        </w:tc>
        <w:tc>
          <w:tcPr>
            <w:tcW w:w="6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sz w:val="20"/>
                <w:szCs w:val="20"/>
                <w:lang w:val="en-US" w:eastAsia="zh-CN"/>
              </w:rPr>
            </w:pPr>
            <w:r>
              <w:rPr>
                <w:rFonts w:hint="eastAsia" w:ascii="仿宋_GB2312" w:hAnsi="Times New Roman" w:eastAsia="仿宋_GB2312"/>
                <w:sz w:val="20"/>
                <w:szCs w:val="20"/>
                <w:lang w:val="en-US" w:eastAsia="zh-CN"/>
              </w:rPr>
              <w:t>0</w:t>
            </w:r>
          </w:p>
        </w:tc>
        <w:tc>
          <w:tcPr>
            <w:tcW w:w="62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sz w:val="20"/>
                <w:szCs w:val="20"/>
                <w:lang w:val="en-US" w:eastAsia="zh-CN"/>
              </w:rPr>
            </w:pPr>
            <w:r>
              <w:rPr>
                <w:rFonts w:hint="eastAsia" w:ascii="仿宋_GB2312" w:hAnsi="Times New Roman" w:eastAsia="仿宋_GB2312"/>
                <w:sz w:val="20"/>
                <w:szCs w:val="20"/>
                <w:lang w:val="en-US" w:eastAsia="zh-CN"/>
              </w:rPr>
              <w:t>0</w:t>
            </w:r>
          </w:p>
        </w:tc>
        <w:tc>
          <w:tcPr>
            <w:tcW w:w="734"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sz w:val="20"/>
                <w:szCs w:val="20"/>
                <w:lang w:val="en-US" w:eastAsia="zh-CN"/>
              </w:rPr>
            </w:pPr>
            <w:r>
              <w:rPr>
                <w:rFonts w:hint="eastAsia" w:ascii="仿宋_GB2312" w:hAnsi="Times New Roman" w:eastAsia="仿宋_GB2312"/>
                <w:sz w:val="20"/>
                <w:szCs w:val="20"/>
                <w:lang w:val="en-US" w:eastAsia="zh-CN"/>
              </w:rPr>
              <w:t>0</w:t>
            </w:r>
          </w:p>
        </w:tc>
        <w:tc>
          <w:tcPr>
            <w:tcW w:w="453"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sz w:val="20"/>
                <w:szCs w:val="20"/>
                <w:lang w:val="en-US" w:eastAsia="zh-CN"/>
              </w:rPr>
            </w:pPr>
            <w:r>
              <w:rPr>
                <w:rFonts w:hint="eastAsia" w:ascii="仿宋_GB2312" w:hAnsi="Times New Roman" w:eastAsia="仿宋_GB2312"/>
                <w:sz w:val="20"/>
                <w:szCs w:val="20"/>
                <w:lang w:val="en-US" w:eastAsia="zh-CN"/>
              </w:rPr>
              <w:t>0</w:t>
            </w:r>
          </w:p>
        </w:tc>
        <w:tc>
          <w:tcPr>
            <w:tcW w:w="6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sz w:val="20"/>
                <w:szCs w:val="20"/>
                <w:lang w:val="en-US" w:eastAsia="zh-CN"/>
              </w:rPr>
            </w:pPr>
            <w:r>
              <w:rPr>
                <w:rFonts w:hint="eastAsia" w:ascii="仿宋_GB2312" w:hAnsi="Times New Roman" w:eastAsia="仿宋_GB2312"/>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416" w:type="dxa"/>
            <w:vMerge w:val="restart"/>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黑体" w:hAnsi="黑体" w:eastAsia="黑体"/>
                <w:sz w:val="20"/>
                <w:szCs w:val="20"/>
              </w:rPr>
            </w:pPr>
            <w:r>
              <w:rPr>
                <w:rFonts w:hint="eastAsia" w:ascii="黑体" w:hAnsi="黑体" w:eastAsia="黑体"/>
                <w:kern w:val="0"/>
                <w:sz w:val="20"/>
                <w:szCs w:val="20"/>
              </w:rPr>
              <w:t>三、本年度办理结果</w:t>
            </w:r>
          </w:p>
        </w:tc>
        <w:tc>
          <w:tcPr>
            <w:tcW w:w="4677" w:type="dxa"/>
            <w:gridSpan w:val="2"/>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黑体" w:hAnsi="黑体" w:eastAsia="黑体"/>
                <w:sz w:val="20"/>
                <w:szCs w:val="20"/>
              </w:rPr>
            </w:pPr>
            <w:r>
              <w:rPr>
                <w:rFonts w:hint="eastAsia" w:ascii="黑体" w:hAnsi="黑体" w:eastAsia="黑体"/>
                <w:kern w:val="0"/>
                <w:sz w:val="20"/>
                <w:szCs w:val="20"/>
              </w:rPr>
              <w:t>（一）予以公开</w:t>
            </w:r>
          </w:p>
        </w:tc>
        <w:tc>
          <w:tcPr>
            <w:tcW w:w="53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仿宋_GB2312" w:hAnsi="Times New Roman" w:eastAsia="仿宋_GB2312"/>
                <w:sz w:val="20"/>
                <w:szCs w:val="20"/>
                <w:lang w:val="en-US" w:eastAsia="zh-CN"/>
              </w:rPr>
            </w:pPr>
            <w:r>
              <w:rPr>
                <w:rFonts w:hint="eastAsia" w:ascii="仿宋_GB2312" w:hAnsi="Times New Roman" w:eastAsia="仿宋_GB2312"/>
                <w:sz w:val="20"/>
                <w:szCs w:val="20"/>
                <w:lang w:val="en-US" w:eastAsia="zh-CN"/>
              </w:rPr>
              <w:t>9</w:t>
            </w:r>
          </w:p>
        </w:tc>
        <w:tc>
          <w:tcPr>
            <w:tcW w:w="653"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sz w:val="20"/>
                <w:szCs w:val="20"/>
                <w:lang w:val="en-US" w:eastAsia="zh-CN"/>
              </w:rPr>
            </w:pPr>
            <w:r>
              <w:rPr>
                <w:rFonts w:hint="eastAsia" w:ascii="仿宋_GB2312" w:hAnsi="Times New Roman" w:eastAsia="仿宋_GB2312"/>
                <w:sz w:val="20"/>
                <w:szCs w:val="20"/>
                <w:lang w:val="en-US" w:eastAsia="zh-CN"/>
              </w:rPr>
              <w:t>0</w:t>
            </w:r>
          </w:p>
        </w:tc>
        <w:tc>
          <w:tcPr>
            <w:tcW w:w="6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sz w:val="20"/>
                <w:szCs w:val="20"/>
                <w:lang w:val="en-US" w:eastAsia="zh-CN"/>
              </w:rPr>
            </w:pPr>
            <w:r>
              <w:rPr>
                <w:rFonts w:hint="eastAsia" w:ascii="仿宋_GB2312" w:hAnsi="Times New Roman" w:eastAsia="仿宋_GB2312"/>
                <w:sz w:val="20"/>
                <w:szCs w:val="20"/>
                <w:lang w:val="en-US" w:eastAsia="zh-CN"/>
              </w:rPr>
              <w:t>0</w:t>
            </w:r>
          </w:p>
        </w:tc>
        <w:tc>
          <w:tcPr>
            <w:tcW w:w="62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sz w:val="20"/>
                <w:szCs w:val="20"/>
                <w:lang w:val="en-US" w:eastAsia="zh-CN"/>
              </w:rPr>
            </w:pPr>
            <w:r>
              <w:rPr>
                <w:rFonts w:hint="eastAsia" w:ascii="仿宋_GB2312" w:hAnsi="Times New Roman" w:eastAsia="仿宋_GB2312"/>
                <w:sz w:val="20"/>
                <w:szCs w:val="20"/>
                <w:lang w:val="en-US" w:eastAsia="zh-CN"/>
              </w:rPr>
              <w:t>0</w:t>
            </w:r>
          </w:p>
        </w:tc>
        <w:tc>
          <w:tcPr>
            <w:tcW w:w="734"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sz w:val="20"/>
                <w:szCs w:val="20"/>
                <w:lang w:val="en-US" w:eastAsia="zh-CN"/>
              </w:rPr>
            </w:pPr>
            <w:r>
              <w:rPr>
                <w:rFonts w:hint="eastAsia" w:ascii="仿宋_GB2312" w:hAnsi="Times New Roman" w:eastAsia="仿宋_GB2312"/>
                <w:sz w:val="20"/>
                <w:szCs w:val="20"/>
                <w:lang w:val="en-US" w:eastAsia="zh-CN"/>
              </w:rPr>
              <w:t>0</w:t>
            </w:r>
          </w:p>
        </w:tc>
        <w:tc>
          <w:tcPr>
            <w:tcW w:w="453"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sz w:val="20"/>
                <w:szCs w:val="20"/>
                <w:lang w:val="en-US" w:eastAsia="zh-CN"/>
              </w:rPr>
            </w:pPr>
            <w:r>
              <w:rPr>
                <w:rFonts w:hint="eastAsia" w:ascii="仿宋_GB2312" w:hAnsi="Times New Roman" w:eastAsia="仿宋_GB2312"/>
                <w:sz w:val="20"/>
                <w:szCs w:val="20"/>
                <w:lang w:val="en-US" w:eastAsia="zh-CN"/>
              </w:rPr>
              <w:t>0</w:t>
            </w:r>
          </w:p>
        </w:tc>
        <w:tc>
          <w:tcPr>
            <w:tcW w:w="6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仿宋_GB2312" w:hAnsi="Times New Roman" w:eastAsia="仿宋_GB2312"/>
                <w:sz w:val="20"/>
                <w:szCs w:val="20"/>
                <w:lang w:val="en-US" w:eastAsia="zh-CN"/>
              </w:rPr>
            </w:pPr>
            <w:r>
              <w:rPr>
                <w:rFonts w:hint="eastAsia" w:ascii="仿宋_GB2312" w:hAnsi="Times New Roman" w:eastAsia="仿宋_GB2312"/>
                <w:sz w:val="20"/>
                <w:szCs w:val="20"/>
                <w:lang w:val="en-US" w:eastAsia="zh-CN"/>
              </w:rPr>
              <w:t>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黑体" w:hAnsi="黑体" w:eastAsia="黑体"/>
                <w:sz w:val="20"/>
                <w:szCs w:val="20"/>
              </w:rPr>
            </w:pPr>
          </w:p>
        </w:tc>
        <w:tc>
          <w:tcPr>
            <w:tcW w:w="4677" w:type="dxa"/>
            <w:gridSpan w:val="2"/>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黑体" w:hAnsi="黑体" w:eastAsia="黑体"/>
                <w:sz w:val="20"/>
                <w:szCs w:val="20"/>
              </w:rPr>
            </w:pPr>
            <w:r>
              <w:rPr>
                <w:rFonts w:hint="eastAsia" w:ascii="黑体" w:hAnsi="黑体" w:eastAsia="黑体"/>
                <w:kern w:val="0"/>
                <w:sz w:val="20"/>
                <w:szCs w:val="20"/>
              </w:rPr>
              <w:t>（二）部分公开（</w:t>
            </w:r>
            <w:bookmarkStart w:id="1" w:name="_Hlk66973981"/>
            <w:r>
              <w:rPr>
                <w:rFonts w:hint="eastAsia" w:ascii="黑体" w:hAnsi="黑体" w:eastAsia="黑体"/>
                <w:kern w:val="0"/>
                <w:sz w:val="20"/>
                <w:szCs w:val="20"/>
              </w:rPr>
              <w:t>区分处理的，只计这一情形，不计其他情形</w:t>
            </w:r>
            <w:bookmarkEnd w:id="1"/>
            <w:r>
              <w:rPr>
                <w:rFonts w:hint="eastAsia" w:ascii="黑体" w:hAnsi="黑体" w:eastAsia="黑体"/>
                <w:kern w:val="0"/>
                <w:sz w:val="20"/>
                <w:szCs w:val="20"/>
              </w:rPr>
              <w:t>）</w:t>
            </w:r>
          </w:p>
        </w:tc>
        <w:tc>
          <w:tcPr>
            <w:tcW w:w="53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sz w:val="20"/>
                <w:szCs w:val="20"/>
                <w:lang w:val="en-US" w:eastAsia="zh-CN"/>
              </w:rPr>
            </w:pPr>
            <w:r>
              <w:rPr>
                <w:rFonts w:hint="eastAsia" w:ascii="仿宋_GB2312" w:hAnsi="Times New Roman" w:eastAsia="仿宋_GB2312"/>
                <w:sz w:val="20"/>
                <w:szCs w:val="20"/>
                <w:lang w:val="en-US" w:eastAsia="zh-CN"/>
              </w:rPr>
              <w:t>1</w:t>
            </w:r>
          </w:p>
        </w:tc>
        <w:tc>
          <w:tcPr>
            <w:tcW w:w="653"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sz w:val="20"/>
                <w:szCs w:val="20"/>
                <w:lang w:val="en-US" w:eastAsia="zh-CN"/>
              </w:rPr>
            </w:pPr>
            <w:r>
              <w:rPr>
                <w:rFonts w:hint="eastAsia" w:ascii="仿宋_GB2312" w:hAnsi="Times New Roman" w:eastAsia="仿宋_GB2312"/>
                <w:sz w:val="20"/>
                <w:szCs w:val="20"/>
                <w:lang w:val="en-US" w:eastAsia="zh-CN"/>
              </w:rPr>
              <w:t>0</w:t>
            </w:r>
          </w:p>
        </w:tc>
        <w:tc>
          <w:tcPr>
            <w:tcW w:w="6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sz w:val="20"/>
                <w:szCs w:val="20"/>
                <w:lang w:val="en-US" w:eastAsia="zh-CN"/>
              </w:rPr>
            </w:pPr>
            <w:r>
              <w:rPr>
                <w:rFonts w:hint="eastAsia" w:ascii="仿宋_GB2312" w:hAnsi="Times New Roman" w:eastAsia="仿宋_GB2312"/>
                <w:sz w:val="20"/>
                <w:szCs w:val="20"/>
                <w:lang w:val="en-US" w:eastAsia="zh-CN"/>
              </w:rPr>
              <w:t>0</w:t>
            </w:r>
          </w:p>
        </w:tc>
        <w:tc>
          <w:tcPr>
            <w:tcW w:w="62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sz w:val="20"/>
                <w:szCs w:val="20"/>
                <w:lang w:val="en-US" w:eastAsia="zh-CN"/>
              </w:rPr>
            </w:pPr>
            <w:r>
              <w:rPr>
                <w:rFonts w:hint="eastAsia" w:ascii="仿宋_GB2312" w:hAnsi="Times New Roman" w:eastAsia="仿宋_GB2312"/>
                <w:sz w:val="20"/>
                <w:szCs w:val="20"/>
                <w:lang w:val="en-US" w:eastAsia="zh-CN"/>
              </w:rPr>
              <w:t>0</w:t>
            </w:r>
          </w:p>
        </w:tc>
        <w:tc>
          <w:tcPr>
            <w:tcW w:w="734"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sz w:val="20"/>
                <w:szCs w:val="20"/>
                <w:lang w:val="en-US" w:eastAsia="zh-CN"/>
              </w:rPr>
            </w:pPr>
            <w:r>
              <w:rPr>
                <w:rFonts w:hint="eastAsia" w:ascii="仿宋_GB2312" w:hAnsi="Times New Roman" w:eastAsia="仿宋_GB2312"/>
                <w:sz w:val="20"/>
                <w:szCs w:val="20"/>
                <w:lang w:val="en-US" w:eastAsia="zh-CN"/>
              </w:rPr>
              <w:t>0</w:t>
            </w:r>
          </w:p>
        </w:tc>
        <w:tc>
          <w:tcPr>
            <w:tcW w:w="453"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sz w:val="20"/>
                <w:szCs w:val="20"/>
                <w:lang w:val="en-US" w:eastAsia="zh-CN"/>
              </w:rPr>
            </w:pPr>
            <w:r>
              <w:rPr>
                <w:rFonts w:hint="eastAsia" w:ascii="仿宋_GB2312" w:hAnsi="Times New Roman" w:eastAsia="仿宋_GB2312"/>
                <w:sz w:val="20"/>
                <w:szCs w:val="20"/>
                <w:lang w:val="en-US" w:eastAsia="zh-CN"/>
              </w:rPr>
              <w:t>0</w:t>
            </w:r>
          </w:p>
        </w:tc>
        <w:tc>
          <w:tcPr>
            <w:tcW w:w="6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sz w:val="20"/>
                <w:szCs w:val="20"/>
                <w:lang w:val="en-US" w:eastAsia="zh-CN"/>
              </w:rPr>
            </w:pPr>
            <w:r>
              <w:rPr>
                <w:rFonts w:hint="eastAsia" w:ascii="仿宋_GB2312" w:hAnsi="Times New Roman" w:eastAsia="仿宋_GB2312"/>
                <w:sz w:val="20"/>
                <w:szCs w:val="20"/>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黑体" w:hAnsi="黑体" w:eastAsia="黑体"/>
                <w:sz w:val="20"/>
                <w:szCs w:val="20"/>
              </w:rPr>
            </w:pPr>
          </w:p>
        </w:tc>
        <w:tc>
          <w:tcPr>
            <w:tcW w:w="1701" w:type="dxa"/>
            <w:vMerge w:val="restart"/>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黑体" w:hAnsi="黑体" w:eastAsia="黑体"/>
                <w:sz w:val="20"/>
                <w:szCs w:val="20"/>
              </w:rPr>
            </w:pPr>
            <w:r>
              <w:rPr>
                <w:rFonts w:hint="eastAsia" w:ascii="黑体" w:hAnsi="黑体" w:eastAsia="黑体"/>
                <w:kern w:val="0"/>
                <w:sz w:val="20"/>
                <w:szCs w:val="20"/>
              </w:rPr>
              <w:t>（三）不予公开</w:t>
            </w: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仿宋_GB2312" w:hAnsi="黑体" w:eastAsia="仿宋_GB2312"/>
                <w:kern w:val="0"/>
                <w:sz w:val="20"/>
                <w:szCs w:val="20"/>
              </w:rPr>
            </w:pPr>
            <w:r>
              <w:rPr>
                <w:rFonts w:hint="eastAsia" w:ascii="仿宋_GB2312" w:hAnsi="黑体" w:eastAsia="仿宋_GB2312"/>
                <w:kern w:val="0"/>
                <w:sz w:val="20"/>
                <w:szCs w:val="20"/>
              </w:rPr>
              <w:t>1.属于国家秘密</w:t>
            </w:r>
          </w:p>
        </w:tc>
        <w:tc>
          <w:tcPr>
            <w:tcW w:w="53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sz w:val="20"/>
                <w:szCs w:val="20"/>
                <w:lang w:val="en-US" w:eastAsia="zh-CN"/>
              </w:rPr>
            </w:pPr>
            <w:r>
              <w:rPr>
                <w:rFonts w:hint="eastAsia" w:ascii="仿宋_GB2312" w:hAnsi="Times New Roman" w:eastAsia="仿宋_GB2312"/>
                <w:sz w:val="20"/>
                <w:szCs w:val="20"/>
                <w:lang w:val="en-US" w:eastAsia="zh-CN"/>
              </w:rPr>
              <w:t>0</w:t>
            </w:r>
          </w:p>
        </w:tc>
        <w:tc>
          <w:tcPr>
            <w:tcW w:w="653"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sz w:val="20"/>
                <w:szCs w:val="20"/>
                <w:lang w:val="en-US" w:eastAsia="zh-CN"/>
              </w:rPr>
            </w:pPr>
            <w:r>
              <w:rPr>
                <w:rFonts w:hint="eastAsia" w:ascii="仿宋_GB2312" w:hAnsi="Times New Roman" w:eastAsia="仿宋_GB2312"/>
                <w:sz w:val="20"/>
                <w:szCs w:val="20"/>
                <w:lang w:val="en-US" w:eastAsia="zh-CN"/>
              </w:rPr>
              <w:t>0</w:t>
            </w:r>
          </w:p>
        </w:tc>
        <w:tc>
          <w:tcPr>
            <w:tcW w:w="6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sz w:val="20"/>
                <w:szCs w:val="20"/>
                <w:lang w:val="en-US" w:eastAsia="zh-CN"/>
              </w:rPr>
            </w:pPr>
            <w:r>
              <w:rPr>
                <w:rFonts w:hint="eastAsia" w:ascii="仿宋_GB2312" w:hAnsi="Times New Roman" w:eastAsia="仿宋_GB2312"/>
                <w:sz w:val="20"/>
                <w:szCs w:val="20"/>
                <w:lang w:val="en-US" w:eastAsia="zh-CN"/>
              </w:rPr>
              <w:t>0</w:t>
            </w:r>
          </w:p>
        </w:tc>
        <w:tc>
          <w:tcPr>
            <w:tcW w:w="62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sz w:val="20"/>
                <w:szCs w:val="20"/>
                <w:lang w:val="en-US" w:eastAsia="zh-CN"/>
              </w:rPr>
            </w:pPr>
            <w:r>
              <w:rPr>
                <w:rFonts w:hint="eastAsia" w:ascii="仿宋_GB2312" w:hAnsi="Times New Roman" w:eastAsia="仿宋_GB2312"/>
                <w:sz w:val="20"/>
                <w:szCs w:val="20"/>
                <w:lang w:val="en-US" w:eastAsia="zh-CN"/>
              </w:rPr>
              <w:t>0</w:t>
            </w:r>
          </w:p>
        </w:tc>
        <w:tc>
          <w:tcPr>
            <w:tcW w:w="734"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sz w:val="20"/>
                <w:szCs w:val="20"/>
                <w:lang w:val="en-US" w:eastAsia="zh-CN"/>
              </w:rPr>
            </w:pPr>
            <w:r>
              <w:rPr>
                <w:rFonts w:hint="eastAsia" w:ascii="仿宋_GB2312" w:hAnsi="Times New Roman" w:eastAsia="仿宋_GB2312"/>
                <w:sz w:val="20"/>
                <w:szCs w:val="20"/>
                <w:lang w:val="en-US" w:eastAsia="zh-CN"/>
              </w:rPr>
              <w:t>0</w:t>
            </w:r>
          </w:p>
        </w:tc>
        <w:tc>
          <w:tcPr>
            <w:tcW w:w="453"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sz w:val="20"/>
                <w:szCs w:val="20"/>
                <w:lang w:val="en-US" w:eastAsia="zh-CN"/>
              </w:rPr>
            </w:pPr>
            <w:r>
              <w:rPr>
                <w:rFonts w:hint="eastAsia" w:ascii="仿宋_GB2312" w:hAnsi="Times New Roman" w:eastAsia="仿宋_GB2312"/>
                <w:sz w:val="20"/>
                <w:szCs w:val="20"/>
                <w:lang w:val="en-US" w:eastAsia="zh-CN"/>
              </w:rPr>
              <w:t>0</w:t>
            </w:r>
          </w:p>
        </w:tc>
        <w:tc>
          <w:tcPr>
            <w:tcW w:w="6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sz w:val="20"/>
                <w:szCs w:val="20"/>
                <w:lang w:val="en-US" w:eastAsia="zh-CN"/>
              </w:rPr>
            </w:pPr>
            <w:r>
              <w:rPr>
                <w:rFonts w:hint="eastAsia" w:ascii="仿宋_GB2312" w:hAnsi="Times New Roman" w:eastAsia="仿宋_GB2312"/>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黑体" w:hAnsi="黑体" w:eastAsia="黑体"/>
                <w:sz w:val="20"/>
                <w:szCs w:val="20"/>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黑体" w:hAnsi="黑体" w:eastAsia="黑体"/>
                <w:sz w:val="20"/>
                <w:szCs w:val="20"/>
              </w:rPr>
            </w:pP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仿宋_GB2312" w:hAnsi="黑体" w:eastAsia="仿宋_GB2312"/>
                <w:kern w:val="0"/>
                <w:sz w:val="20"/>
                <w:szCs w:val="20"/>
              </w:rPr>
            </w:pPr>
            <w:r>
              <w:rPr>
                <w:rFonts w:hint="eastAsia" w:ascii="仿宋_GB2312" w:hAnsi="黑体" w:eastAsia="仿宋_GB2312"/>
                <w:kern w:val="0"/>
                <w:sz w:val="20"/>
                <w:szCs w:val="20"/>
              </w:rPr>
              <w:t>2.</w:t>
            </w:r>
            <w:bookmarkStart w:id="2" w:name="_Hlk66974104"/>
            <w:r>
              <w:rPr>
                <w:rFonts w:hint="eastAsia" w:ascii="仿宋_GB2312" w:hAnsi="黑体" w:eastAsia="仿宋_GB2312"/>
                <w:kern w:val="0"/>
                <w:sz w:val="20"/>
                <w:szCs w:val="20"/>
              </w:rPr>
              <w:t>其他法律行政法规禁止公开</w:t>
            </w:r>
            <w:bookmarkEnd w:id="2"/>
          </w:p>
        </w:tc>
        <w:tc>
          <w:tcPr>
            <w:tcW w:w="53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53"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2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734"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453"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黑体" w:hAnsi="黑体" w:eastAsia="黑体"/>
                <w:sz w:val="20"/>
                <w:szCs w:val="20"/>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黑体" w:hAnsi="黑体" w:eastAsia="黑体"/>
                <w:sz w:val="20"/>
                <w:szCs w:val="20"/>
              </w:rPr>
            </w:pP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仿宋_GB2312" w:hAnsi="黑体" w:eastAsia="仿宋_GB2312"/>
                <w:kern w:val="0"/>
                <w:sz w:val="20"/>
                <w:szCs w:val="20"/>
              </w:rPr>
            </w:pPr>
            <w:r>
              <w:rPr>
                <w:rFonts w:hint="eastAsia" w:ascii="仿宋_GB2312" w:hAnsi="黑体" w:eastAsia="仿宋_GB2312"/>
                <w:kern w:val="0"/>
                <w:sz w:val="20"/>
                <w:szCs w:val="20"/>
              </w:rPr>
              <w:t>3.危及“三安全一稳定”</w:t>
            </w:r>
          </w:p>
        </w:tc>
        <w:tc>
          <w:tcPr>
            <w:tcW w:w="53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53"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2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734"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453"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黑体" w:hAnsi="黑体" w:eastAsia="黑体"/>
                <w:sz w:val="20"/>
                <w:szCs w:val="20"/>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黑体" w:hAnsi="黑体" w:eastAsia="黑体"/>
                <w:sz w:val="20"/>
                <w:szCs w:val="20"/>
              </w:rPr>
            </w:pP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仿宋_GB2312" w:hAnsi="黑体" w:eastAsia="仿宋_GB2312"/>
                <w:kern w:val="0"/>
                <w:sz w:val="20"/>
                <w:szCs w:val="20"/>
              </w:rPr>
            </w:pPr>
            <w:r>
              <w:rPr>
                <w:rFonts w:hint="eastAsia" w:ascii="仿宋_GB2312" w:hAnsi="黑体" w:eastAsia="仿宋_GB2312"/>
                <w:kern w:val="0"/>
                <w:sz w:val="20"/>
                <w:szCs w:val="20"/>
              </w:rPr>
              <w:t>4.</w:t>
            </w:r>
            <w:bookmarkStart w:id="3" w:name="_Hlk66974290"/>
            <w:r>
              <w:rPr>
                <w:rFonts w:hint="eastAsia" w:ascii="仿宋_GB2312" w:hAnsi="黑体" w:eastAsia="仿宋_GB2312"/>
                <w:kern w:val="0"/>
                <w:sz w:val="20"/>
                <w:szCs w:val="20"/>
              </w:rPr>
              <w:t>保护第三方合法权益</w:t>
            </w:r>
            <w:bookmarkEnd w:id="3"/>
          </w:p>
        </w:tc>
        <w:tc>
          <w:tcPr>
            <w:tcW w:w="53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53"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2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734"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453"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黑体" w:hAnsi="黑体" w:eastAsia="黑体"/>
                <w:sz w:val="20"/>
                <w:szCs w:val="20"/>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黑体" w:hAnsi="黑体" w:eastAsia="黑体"/>
                <w:sz w:val="20"/>
                <w:szCs w:val="20"/>
              </w:rPr>
            </w:pP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仿宋_GB2312" w:hAnsi="黑体" w:eastAsia="仿宋_GB2312"/>
                <w:kern w:val="0"/>
                <w:sz w:val="20"/>
                <w:szCs w:val="20"/>
              </w:rPr>
            </w:pPr>
            <w:r>
              <w:rPr>
                <w:rFonts w:hint="eastAsia" w:ascii="仿宋_GB2312" w:hAnsi="黑体" w:eastAsia="仿宋_GB2312"/>
                <w:kern w:val="0"/>
                <w:sz w:val="20"/>
                <w:szCs w:val="20"/>
              </w:rPr>
              <w:t>5.属于三类内部事务信息</w:t>
            </w:r>
          </w:p>
        </w:tc>
        <w:tc>
          <w:tcPr>
            <w:tcW w:w="53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53"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2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734"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453"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黑体" w:hAnsi="黑体" w:eastAsia="黑体"/>
                <w:sz w:val="20"/>
                <w:szCs w:val="20"/>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黑体" w:hAnsi="黑体" w:eastAsia="黑体"/>
                <w:sz w:val="20"/>
                <w:szCs w:val="20"/>
              </w:rPr>
            </w:pP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仿宋_GB2312" w:hAnsi="黑体" w:eastAsia="仿宋_GB2312"/>
                <w:kern w:val="0"/>
                <w:sz w:val="20"/>
                <w:szCs w:val="20"/>
              </w:rPr>
            </w:pPr>
            <w:r>
              <w:rPr>
                <w:rFonts w:hint="eastAsia" w:ascii="仿宋_GB2312" w:hAnsi="黑体" w:eastAsia="仿宋_GB2312"/>
                <w:kern w:val="0"/>
                <w:sz w:val="20"/>
                <w:szCs w:val="20"/>
              </w:rPr>
              <w:t>6.</w:t>
            </w:r>
            <w:bookmarkStart w:id="4" w:name="_Hlk66974555"/>
            <w:r>
              <w:rPr>
                <w:rFonts w:hint="eastAsia" w:ascii="仿宋_GB2312" w:hAnsi="黑体" w:eastAsia="仿宋_GB2312"/>
                <w:kern w:val="0"/>
                <w:sz w:val="20"/>
                <w:szCs w:val="20"/>
              </w:rPr>
              <w:t>属于四类过程性信息</w:t>
            </w:r>
            <w:bookmarkEnd w:id="4"/>
          </w:p>
        </w:tc>
        <w:tc>
          <w:tcPr>
            <w:tcW w:w="53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53"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2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734"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453"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黑体" w:hAnsi="黑体" w:eastAsia="黑体"/>
                <w:sz w:val="20"/>
                <w:szCs w:val="20"/>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黑体" w:hAnsi="黑体" w:eastAsia="黑体"/>
                <w:sz w:val="20"/>
                <w:szCs w:val="20"/>
              </w:rPr>
            </w:pP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仿宋_GB2312" w:hAnsi="黑体" w:eastAsia="仿宋_GB2312"/>
                <w:kern w:val="0"/>
                <w:sz w:val="20"/>
                <w:szCs w:val="20"/>
              </w:rPr>
            </w:pPr>
            <w:r>
              <w:rPr>
                <w:rFonts w:hint="eastAsia" w:ascii="仿宋_GB2312" w:hAnsi="黑体" w:eastAsia="仿宋_GB2312"/>
                <w:kern w:val="0"/>
                <w:sz w:val="20"/>
                <w:szCs w:val="20"/>
              </w:rPr>
              <w:t>7.属于行政执法案卷</w:t>
            </w:r>
          </w:p>
        </w:tc>
        <w:tc>
          <w:tcPr>
            <w:tcW w:w="53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53"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2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734"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453"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黑体" w:hAnsi="黑体" w:eastAsia="黑体"/>
                <w:sz w:val="20"/>
                <w:szCs w:val="20"/>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黑体" w:hAnsi="黑体" w:eastAsia="黑体"/>
                <w:sz w:val="20"/>
                <w:szCs w:val="20"/>
              </w:rPr>
            </w:pP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仿宋_GB2312" w:hAnsi="黑体" w:eastAsia="仿宋_GB2312"/>
                <w:kern w:val="0"/>
                <w:sz w:val="20"/>
                <w:szCs w:val="20"/>
              </w:rPr>
            </w:pPr>
            <w:r>
              <w:rPr>
                <w:rFonts w:hint="eastAsia" w:ascii="仿宋_GB2312" w:hAnsi="黑体" w:eastAsia="仿宋_GB2312"/>
                <w:kern w:val="0"/>
                <w:sz w:val="20"/>
                <w:szCs w:val="20"/>
              </w:rPr>
              <w:t>8.</w:t>
            </w:r>
            <w:bookmarkStart w:id="5" w:name="_Hlk66975211"/>
            <w:r>
              <w:rPr>
                <w:rFonts w:hint="eastAsia" w:ascii="仿宋_GB2312" w:hAnsi="黑体" w:eastAsia="仿宋_GB2312"/>
                <w:kern w:val="0"/>
                <w:sz w:val="20"/>
                <w:szCs w:val="20"/>
              </w:rPr>
              <w:t>属于行政查询事项</w:t>
            </w:r>
            <w:bookmarkEnd w:id="5"/>
          </w:p>
        </w:tc>
        <w:tc>
          <w:tcPr>
            <w:tcW w:w="53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53"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2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734"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453"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黑体" w:hAnsi="黑体" w:eastAsia="黑体"/>
                <w:sz w:val="20"/>
                <w:szCs w:val="20"/>
              </w:rPr>
            </w:pPr>
          </w:p>
        </w:tc>
        <w:tc>
          <w:tcPr>
            <w:tcW w:w="1701" w:type="dxa"/>
            <w:vMerge w:val="restart"/>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黑体" w:hAnsi="黑体" w:eastAsia="黑体"/>
                <w:sz w:val="20"/>
                <w:szCs w:val="20"/>
              </w:rPr>
            </w:pPr>
            <w:r>
              <w:rPr>
                <w:rFonts w:hint="eastAsia" w:ascii="黑体" w:hAnsi="黑体" w:eastAsia="黑体"/>
                <w:kern w:val="0"/>
                <w:sz w:val="20"/>
                <w:szCs w:val="20"/>
              </w:rPr>
              <w:t>（四）无法提供</w:t>
            </w: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仿宋_GB2312" w:hAnsi="黑体" w:eastAsia="仿宋_GB2312"/>
                <w:kern w:val="0"/>
                <w:sz w:val="20"/>
                <w:szCs w:val="20"/>
              </w:rPr>
            </w:pPr>
            <w:r>
              <w:rPr>
                <w:rFonts w:hint="eastAsia" w:ascii="仿宋_GB2312" w:hAnsi="黑体" w:eastAsia="仿宋_GB2312"/>
                <w:kern w:val="0"/>
                <w:sz w:val="20"/>
                <w:szCs w:val="20"/>
              </w:rPr>
              <w:t>1.本机关不掌握相关政府信息</w:t>
            </w:r>
          </w:p>
        </w:tc>
        <w:tc>
          <w:tcPr>
            <w:tcW w:w="53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sz w:val="20"/>
                <w:szCs w:val="20"/>
                <w:lang w:val="en-US" w:eastAsia="zh-CN"/>
              </w:rPr>
            </w:pPr>
            <w:r>
              <w:rPr>
                <w:rFonts w:hint="eastAsia" w:ascii="仿宋_GB2312" w:hAnsi="Times New Roman" w:eastAsia="仿宋_GB2312"/>
                <w:sz w:val="20"/>
                <w:szCs w:val="20"/>
                <w:lang w:val="en-US" w:eastAsia="zh-CN"/>
              </w:rPr>
              <w:t>4</w:t>
            </w:r>
          </w:p>
        </w:tc>
        <w:tc>
          <w:tcPr>
            <w:tcW w:w="653"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2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734"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453"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sz w:val="20"/>
                <w:szCs w:val="20"/>
                <w:lang w:val="en-US" w:eastAsia="zh-CN"/>
              </w:rPr>
            </w:pPr>
            <w:r>
              <w:rPr>
                <w:rFonts w:hint="eastAsia" w:ascii="仿宋_GB2312" w:hAnsi="Times New Roman" w:eastAsia="仿宋_GB2312"/>
                <w:sz w:val="20"/>
                <w:szCs w:val="20"/>
                <w:lang w:val="en-US" w:eastAsia="zh-CN"/>
              </w:rPr>
              <w:t>0</w:t>
            </w:r>
          </w:p>
        </w:tc>
        <w:tc>
          <w:tcPr>
            <w:tcW w:w="6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sz w:val="20"/>
                <w:szCs w:val="20"/>
                <w:lang w:val="en-US" w:eastAsia="zh-CN"/>
              </w:rPr>
            </w:pPr>
            <w:r>
              <w:rPr>
                <w:rFonts w:hint="eastAsia" w:ascii="仿宋_GB2312" w:hAnsi="Times New Roman" w:eastAsia="仿宋_GB2312"/>
                <w:sz w:val="20"/>
                <w:szCs w:val="20"/>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黑体" w:hAnsi="黑体" w:eastAsia="黑体"/>
                <w:sz w:val="20"/>
                <w:szCs w:val="20"/>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黑体" w:hAnsi="黑体" w:eastAsia="黑体"/>
                <w:sz w:val="20"/>
                <w:szCs w:val="20"/>
              </w:rPr>
            </w:pP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仿宋_GB2312" w:hAnsi="黑体" w:eastAsia="仿宋_GB2312"/>
                <w:kern w:val="0"/>
                <w:sz w:val="20"/>
                <w:szCs w:val="20"/>
              </w:rPr>
            </w:pPr>
            <w:r>
              <w:rPr>
                <w:rFonts w:hint="eastAsia" w:ascii="仿宋_GB2312" w:hAnsi="黑体" w:eastAsia="仿宋_GB2312"/>
                <w:kern w:val="0"/>
                <w:sz w:val="20"/>
                <w:szCs w:val="20"/>
              </w:rPr>
              <w:t>2.</w:t>
            </w:r>
            <w:bookmarkStart w:id="6" w:name="_Hlk66975392"/>
            <w:r>
              <w:rPr>
                <w:rFonts w:hint="eastAsia" w:ascii="仿宋_GB2312" w:hAnsi="黑体" w:eastAsia="仿宋_GB2312"/>
                <w:kern w:val="0"/>
                <w:sz w:val="20"/>
                <w:szCs w:val="20"/>
              </w:rPr>
              <w:t>没有现成信息需要另行制作</w:t>
            </w:r>
            <w:bookmarkEnd w:id="6"/>
          </w:p>
        </w:tc>
        <w:tc>
          <w:tcPr>
            <w:tcW w:w="53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53"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2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734"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453"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黑体" w:hAnsi="黑体" w:eastAsia="黑体"/>
                <w:sz w:val="20"/>
                <w:szCs w:val="20"/>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黑体" w:hAnsi="黑体" w:eastAsia="黑体"/>
                <w:sz w:val="20"/>
                <w:szCs w:val="20"/>
              </w:rPr>
            </w:pP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仿宋_GB2312" w:hAnsi="黑体" w:eastAsia="仿宋_GB2312"/>
                <w:kern w:val="0"/>
                <w:sz w:val="20"/>
                <w:szCs w:val="20"/>
              </w:rPr>
            </w:pPr>
            <w:r>
              <w:rPr>
                <w:rFonts w:hint="eastAsia" w:ascii="仿宋_GB2312" w:hAnsi="黑体" w:eastAsia="仿宋_GB2312"/>
                <w:kern w:val="0"/>
                <w:sz w:val="20"/>
                <w:szCs w:val="20"/>
              </w:rPr>
              <w:t>3.</w:t>
            </w:r>
            <w:bookmarkStart w:id="7" w:name="_Hlk66975466"/>
            <w:r>
              <w:rPr>
                <w:rFonts w:hint="eastAsia" w:ascii="仿宋_GB2312" w:hAnsi="黑体" w:eastAsia="仿宋_GB2312"/>
                <w:kern w:val="0"/>
                <w:sz w:val="20"/>
                <w:szCs w:val="20"/>
              </w:rPr>
              <w:t>补正后申请内容仍不明确</w:t>
            </w:r>
            <w:bookmarkEnd w:id="7"/>
          </w:p>
        </w:tc>
        <w:tc>
          <w:tcPr>
            <w:tcW w:w="53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sz w:val="20"/>
                <w:szCs w:val="20"/>
                <w:lang w:val="en-US" w:eastAsia="zh-CN"/>
              </w:rPr>
            </w:pPr>
            <w:r>
              <w:rPr>
                <w:rFonts w:hint="eastAsia" w:ascii="仿宋_GB2312" w:hAnsi="Times New Roman" w:eastAsia="仿宋_GB2312"/>
                <w:sz w:val="20"/>
                <w:szCs w:val="20"/>
                <w:lang w:val="en-US" w:eastAsia="zh-CN"/>
              </w:rPr>
              <w:t>1</w:t>
            </w:r>
          </w:p>
        </w:tc>
        <w:tc>
          <w:tcPr>
            <w:tcW w:w="653"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2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734"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453"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sz w:val="20"/>
                <w:szCs w:val="20"/>
                <w:lang w:val="en-US" w:eastAsia="zh-CN"/>
              </w:rPr>
            </w:pPr>
            <w:r>
              <w:rPr>
                <w:rFonts w:hint="eastAsia" w:ascii="仿宋_GB2312" w:hAnsi="Times New Roman" w:eastAsia="仿宋_GB2312"/>
                <w:sz w:val="20"/>
                <w:szCs w:val="20"/>
                <w:lang w:val="en-US" w:eastAsia="zh-CN"/>
              </w:rPr>
              <w:t>0</w:t>
            </w:r>
          </w:p>
        </w:tc>
        <w:tc>
          <w:tcPr>
            <w:tcW w:w="6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sz w:val="20"/>
                <w:szCs w:val="20"/>
                <w:lang w:val="en-US" w:eastAsia="zh-CN"/>
              </w:rPr>
            </w:pPr>
            <w:r>
              <w:rPr>
                <w:rFonts w:hint="eastAsia" w:ascii="仿宋_GB2312" w:hAnsi="Times New Roman" w:eastAsia="仿宋_GB2312"/>
                <w:sz w:val="20"/>
                <w:szCs w:val="20"/>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黑体" w:hAnsi="黑体" w:eastAsia="黑体"/>
                <w:sz w:val="20"/>
                <w:szCs w:val="20"/>
              </w:rPr>
            </w:pPr>
          </w:p>
        </w:tc>
        <w:tc>
          <w:tcPr>
            <w:tcW w:w="1701" w:type="dxa"/>
            <w:vMerge w:val="restart"/>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黑体" w:hAnsi="黑体" w:eastAsia="黑体"/>
                <w:sz w:val="20"/>
                <w:szCs w:val="20"/>
              </w:rPr>
            </w:pPr>
            <w:r>
              <w:rPr>
                <w:rFonts w:hint="eastAsia" w:ascii="黑体" w:hAnsi="黑体" w:eastAsia="黑体"/>
                <w:kern w:val="0"/>
                <w:sz w:val="20"/>
                <w:szCs w:val="20"/>
              </w:rPr>
              <w:t>（五）不予处理</w:t>
            </w: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仿宋_GB2312" w:hAnsi="黑体" w:eastAsia="仿宋_GB2312"/>
                <w:kern w:val="0"/>
                <w:sz w:val="20"/>
                <w:szCs w:val="20"/>
              </w:rPr>
            </w:pPr>
            <w:r>
              <w:rPr>
                <w:rFonts w:hint="eastAsia" w:ascii="仿宋_GB2312" w:hAnsi="黑体" w:eastAsia="仿宋_GB2312"/>
                <w:kern w:val="0"/>
                <w:sz w:val="20"/>
                <w:szCs w:val="20"/>
              </w:rPr>
              <w:t>1.</w:t>
            </w:r>
            <w:bookmarkStart w:id="8" w:name="_Hlk66975537"/>
            <w:r>
              <w:rPr>
                <w:rFonts w:hint="eastAsia" w:ascii="仿宋_GB2312" w:hAnsi="黑体" w:eastAsia="仿宋_GB2312"/>
                <w:kern w:val="0"/>
                <w:sz w:val="20"/>
                <w:szCs w:val="20"/>
              </w:rPr>
              <w:t>信访举报投诉类申请</w:t>
            </w:r>
            <w:bookmarkEnd w:id="8"/>
          </w:p>
        </w:tc>
        <w:tc>
          <w:tcPr>
            <w:tcW w:w="53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53"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2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734"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453"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黑体" w:hAnsi="黑体" w:eastAsia="黑体"/>
                <w:sz w:val="20"/>
                <w:szCs w:val="20"/>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黑体" w:hAnsi="黑体" w:eastAsia="黑体"/>
                <w:sz w:val="20"/>
                <w:szCs w:val="20"/>
              </w:rPr>
            </w:pP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仿宋_GB2312" w:hAnsi="黑体" w:eastAsia="仿宋_GB2312"/>
                <w:kern w:val="0"/>
                <w:sz w:val="20"/>
                <w:szCs w:val="20"/>
              </w:rPr>
            </w:pPr>
            <w:r>
              <w:rPr>
                <w:rFonts w:hint="eastAsia" w:ascii="仿宋_GB2312" w:hAnsi="黑体" w:eastAsia="仿宋_GB2312"/>
                <w:kern w:val="0"/>
                <w:sz w:val="20"/>
                <w:szCs w:val="20"/>
              </w:rPr>
              <w:t>2.重复申请</w:t>
            </w:r>
          </w:p>
        </w:tc>
        <w:tc>
          <w:tcPr>
            <w:tcW w:w="53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53"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2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734"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453"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黑体" w:hAnsi="黑体" w:eastAsia="黑体"/>
                <w:sz w:val="20"/>
                <w:szCs w:val="20"/>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黑体" w:hAnsi="黑体" w:eastAsia="黑体"/>
                <w:sz w:val="20"/>
                <w:szCs w:val="20"/>
              </w:rPr>
            </w:pP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仿宋_GB2312" w:hAnsi="黑体" w:eastAsia="仿宋_GB2312"/>
                <w:sz w:val="20"/>
                <w:szCs w:val="20"/>
              </w:rPr>
            </w:pPr>
            <w:r>
              <w:rPr>
                <w:rFonts w:hint="eastAsia" w:ascii="仿宋_GB2312" w:hAnsi="黑体" w:eastAsia="仿宋_GB2312"/>
                <w:kern w:val="0"/>
                <w:sz w:val="20"/>
                <w:szCs w:val="20"/>
              </w:rPr>
              <w:t>3.要求提供公开出版物</w:t>
            </w:r>
          </w:p>
        </w:tc>
        <w:tc>
          <w:tcPr>
            <w:tcW w:w="53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53"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2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734"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453"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黑体" w:hAnsi="黑体" w:eastAsia="黑体"/>
                <w:sz w:val="20"/>
                <w:szCs w:val="20"/>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黑体" w:hAnsi="黑体" w:eastAsia="黑体"/>
                <w:sz w:val="20"/>
                <w:szCs w:val="20"/>
              </w:rPr>
            </w:pP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仿宋_GB2312" w:hAnsi="黑体" w:eastAsia="仿宋_GB2312"/>
                <w:sz w:val="20"/>
                <w:szCs w:val="20"/>
              </w:rPr>
            </w:pPr>
            <w:r>
              <w:rPr>
                <w:rFonts w:hint="eastAsia" w:ascii="仿宋_GB2312" w:hAnsi="黑体" w:eastAsia="仿宋_GB2312"/>
                <w:kern w:val="0"/>
                <w:sz w:val="20"/>
                <w:szCs w:val="20"/>
              </w:rPr>
              <w:t>4.无正当理由大量反复申请</w:t>
            </w:r>
          </w:p>
        </w:tc>
        <w:tc>
          <w:tcPr>
            <w:tcW w:w="53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53"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2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734"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453"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黑体" w:hAnsi="黑体" w:eastAsia="黑体"/>
                <w:sz w:val="20"/>
                <w:szCs w:val="20"/>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黑体" w:hAnsi="黑体" w:eastAsia="黑体"/>
                <w:sz w:val="20"/>
                <w:szCs w:val="20"/>
              </w:rPr>
            </w:pP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仿宋_GB2312" w:hAnsi="黑体" w:eastAsia="仿宋_GB2312"/>
                <w:kern w:val="0"/>
                <w:sz w:val="20"/>
                <w:szCs w:val="20"/>
              </w:rPr>
            </w:pPr>
            <w:r>
              <w:rPr>
                <w:rFonts w:hint="eastAsia" w:ascii="仿宋_GB2312" w:hAnsi="黑体" w:eastAsia="仿宋_GB2312"/>
                <w:kern w:val="0"/>
                <w:sz w:val="20"/>
                <w:szCs w:val="20"/>
              </w:rPr>
              <w:t>5.要求行政机关确认或重新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仿宋_GB2312" w:hAnsi="黑体" w:eastAsia="仿宋_GB2312"/>
                <w:sz w:val="20"/>
                <w:szCs w:val="20"/>
              </w:rPr>
            </w:pPr>
            <w:r>
              <w:rPr>
                <w:rFonts w:hint="eastAsia" w:ascii="仿宋_GB2312" w:hAnsi="黑体" w:eastAsia="仿宋_GB2312"/>
                <w:kern w:val="0"/>
                <w:sz w:val="20"/>
                <w:szCs w:val="20"/>
              </w:rPr>
              <w:t>出具已获取信息</w:t>
            </w:r>
          </w:p>
        </w:tc>
        <w:tc>
          <w:tcPr>
            <w:tcW w:w="53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53"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2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734"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453"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黑体" w:hAnsi="黑体" w:eastAsia="黑体"/>
                <w:sz w:val="20"/>
                <w:szCs w:val="20"/>
              </w:rPr>
            </w:pPr>
          </w:p>
        </w:tc>
        <w:tc>
          <w:tcPr>
            <w:tcW w:w="1701" w:type="dxa"/>
            <w:vMerge w:val="restart"/>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黑体" w:hAnsi="黑体" w:eastAsia="黑体"/>
                <w:kern w:val="0"/>
                <w:sz w:val="20"/>
                <w:szCs w:val="20"/>
              </w:rPr>
            </w:pPr>
            <w:r>
              <w:rPr>
                <w:rFonts w:hint="eastAsia" w:ascii="黑体" w:hAnsi="黑体" w:eastAsia="黑体"/>
                <w:kern w:val="0"/>
                <w:sz w:val="20"/>
                <w:szCs w:val="20"/>
              </w:rPr>
              <w:t>（六）其他处理</w:t>
            </w:r>
          </w:p>
        </w:tc>
        <w:tc>
          <w:tcPr>
            <w:tcW w:w="297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仿宋_GB2312" w:hAnsi="楷体" w:eastAsia="仿宋_GB2312"/>
                <w:sz w:val="20"/>
                <w:szCs w:val="22"/>
              </w:rPr>
            </w:pPr>
            <w:r>
              <w:rPr>
                <w:rFonts w:hint="eastAsia" w:ascii="仿宋_GB2312" w:hAnsi="楷体" w:eastAsia="仿宋_GB2312"/>
                <w:sz w:val="20"/>
                <w:szCs w:val="22"/>
              </w:rPr>
              <w:t>1.申请人无正当理由逾期不补正、行政机关不再处理其政府信息公开申请</w:t>
            </w:r>
          </w:p>
        </w:tc>
        <w:tc>
          <w:tcPr>
            <w:tcW w:w="53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53"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2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734"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453"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黑体" w:hAnsi="黑体" w:eastAsia="黑体"/>
                <w:sz w:val="20"/>
                <w:szCs w:val="20"/>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黑体" w:hAnsi="黑体" w:eastAsia="黑体"/>
                <w:kern w:val="0"/>
                <w:sz w:val="20"/>
                <w:szCs w:val="20"/>
              </w:rPr>
            </w:pPr>
          </w:p>
        </w:tc>
        <w:tc>
          <w:tcPr>
            <w:tcW w:w="297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仿宋_GB2312" w:hAnsi="黑体" w:eastAsia="仿宋_GB2312"/>
                <w:kern w:val="0"/>
                <w:sz w:val="20"/>
                <w:szCs w:val="20"/>
              </w:rPr>
            </w:pPr>
            <w:r>
              <w:rPr>
                <w:rFonts w:hint="eastAsia" w:ascii="仿宋_GB2312" w:hAnsi="楷体" w:eastAsia="仿宋_GB2312"/>
                <w:sz w:val="20"/>
                <w:szCs w:val="22"/>
              </w:rPr>
              <w:t>2.申请人逾期未按收费通知要求缴纳费用、行政机关不再处理其政府信息公开申请</w:t>
            </w:r>
          </w:p>
        </w:tc>
        <w:tc>
          <w:tcPr>
            <w:tcW w:w="53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53"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2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734"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453"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黑体" w:hAnsi="黑体" w:eastAsia="黑体"/>
                <w:sz w:val="20"/>
                <w:szCs w:val="20"/>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黑体" w:hAnsi="黑体" w:eastAsia="黑体"/>
                <w:kern w:val="0"/>
                <w:sz w:val="20"/>
                <w:szCs w:val="20"/>
              </w:rPr>
            </w:pPr>
          </w:p>
        </w:tc>
        <w:tc>
          <w:tcPr>
            <w:tcW w:w="297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仿宋_GB2312" w:hAnsi="黑体" w:eastAsia="仿宋_GB2312"/>
                <w:kern w:val="0"/>
                <w:sz w:val="20"/>
                <w:szCs w:val="20"/>
              </w:rPr>
            </w:pPr>
            <w:r>
              <w:rPr>
                <w:rFonts w:hint="eastAsia" w:ascii="仿宋_GB2312" w:hAnsi="楷体" w:eastAsia="仿宋_GB2312"/>
                <w:sz w:val="20"/>
                <w:szCs w:val="22"/>
              </w:rPr>
              <w:t>3.其他</w:t>
            </w:r>
          </w:p>
        </w:tc>
        <w:tc>
          <w:tcPr>
            <w:tcW w:w="53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53"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2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734"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453"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黑体" w:hAnsi="黑体" w:eastAsia="黑体"/>
                <w:sz w:val="20"/>
                <w:szCs w:val="20"/>
              </w:rPr>
            </w:pPr>
          </w:p>
        </w:tc>
        <w:tc>
          <w:tcPr>
            <w:tcW w:w="4677" w:type="dxa"/>
            <w:gridSpan w:val="2"/>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黑体" w:hAnsi="黑体" w:eastAsia="黑体"/>
                <w:kern w:val="0"/>
                <w:sz w:val="20"/>
                <w:szCs w:val="20"/>
              </w:rPr>
            </w:pPr>
            <w:r>
              <w:rPr>
                <w:rFonts w:hint="eastAsia" w:ascii="黑体" w:hAnsi="黑体" w:eastAsia="黑体"/>
                <w:kern w:val="0"/>
                <w:sz w:val="20"/>
                <w:szCs w:val="20"/>
              </w:rPr>
              <w:t>（七）总计</w:t>
            </w:r>
          </w:p>
        </w:tc>
        <w:tc>
          <w:tcPr>
            <w:tcW w:w="53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仿宋_GB2312" w:hAnsi="Times New Roman" w:eastAsia="仿宋_GB2312"/>
                <w:sz w:val="20"/>
                <w:szCs w:val="20"/>
                <w:lang w:val="en-US" w:eastAsia="zh-CN"/>
              </w:rPr>
            </w:pPr>
            <w:r>
              <w:rPr>
                <w:rFonts w:hint="eastAsia" w:ascii="仿宋_GB2312" w:hAnsi="Times New Roman" w:eastAsia="仿宋_GB2312"/>
                <w:sz w:val="20"/>
                <w:szCs w:val="20"/>
                <w:lang w:val="en-US" w:eastAsia="zh-CN"/>
              </w:rPr>
              <w:t>15</w:t>
            </w:r>
          </w:p>
        </w:tc>
        <w:tc>
          <w:tcPr>
            <w:tcW w:w="653"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2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734"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453"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仿宋_GB2312" w:hAnsi="Times New Roman" w:eastAsia="仿宋_GB2312"/>
                <w:sz w:val="20"/>
                <w:szCs w:val="20"/>
              </w:rPr>
            </w:pPr>
            <w:r>
              <w:rPr>
                <w:rFonts w:hint="eastAsia" w:ascii="仿宋_GB2312" w:hAnsi="Times New Roman" w:eastAsia="仿宋_GB2312"/>
                <w:sz w:val="20"/>
                <w:szCs w:val="20"/>
                <w:lang w:val="en-US" w:eastAsia="zh-CN"/>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5" w:hRule="atLeast"/>
          <w:jc w:val="center"/>
        </w:trPr>
        <w:tc>
          <w:tcPr>
            <w:tcW w:w="5093" w:type="dxa"/>
            <w:gridSpan w:val="3"/>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黑体" w:hAnsi="黑体" w:eastAsia="黑体"/>
                <w:kern w:val="0"/>
                <w:sz w:val="20"/>
                <w:szCs w:val="20"/>
              </w:rPr>
            </w:pPr>
            <w:r>
              <w:rPr>
                <w:rFonts w:hint="eastAsia" w:ascii="黑体" w:hAnsi="黑体" w:eastAsia="黑体"/>
                <w:kern w:val="0"/>
                <w:sz w:val="20"/>
                <w:szCs w:val="20"/>
              </w:rPr>
              <w:t>四、结转下年度继续办理</w:t>
            </w:r>
          </w:p>
        </w:tc>
        <w:tc>
          <w:tcPr>
            <w:tcW w:w="53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sz w:val="20"/>
                <w:szCs w:val="20"/>
                <w:lang w:val="en-US" w:eastAsia="zh-CN"/>
              </w:rPr>
            </w:pPr>
            <w:r>
              <w:rPr>
                <w:rFonts w:hint="eastAsia" w:ascii="仿宋_GB2312" w:hAnsi="Times New Roman" w:eastAsia="仿宋_GB2312"/>
                <w:sz w:val="20"/>
                <w:szCs w:val="20"/>
                <w:lang w:val="en-US" w:eastAsia="zh-CN"/>
              </w:rPr>
              <w:t>0</w:t>
            </w:r>
          </w:p>
        </w:tc>
        <w:tc>
          <w:tcPr>
            <w:tcW w:w="653"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2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734"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453"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cstheme="minorBidi"/>
                <w:kern w:val="2"/>
                <w:sz w:val="20"/>
                <w:szCs w:val="20"/>
                <w:lang w:val="en-US" w:eastAsia="zh-CN" w:bidi="ar-SA"/>
              </w:rPr>
            </w:pPr>
            <w:r>
              <w:rPr>
                <w:rFonts w:hint="eastAsia" w:ascii="仿宋_GB2312" w:hAnsi="Times New Roman" w:eastAsia="仿宋_GB2312"/>
                <w:sz w:val="20"/>
                <w:szCs w:val="20"/>
                <w:lang w:val="en-US" w:eastAsia="zh-CN"/>
              </w:rPr>
              <w:t>0</w:t>
            </w:r>
          </w:p>
        </w:tc>
        <w:tc>
          <w:tcPr>
            <w:tcW w:w="6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Times New Roman" w:eastAsia="仿宋_GB2312"/>
                <w:sz w:val="20"/>
                <w:szCs w:val="20"/>
                <w:lang w:val="en-US" w:eastAsia="zh-CN"/>
              </w:rPr>
            </w:pPr>
            <w:r>
              <w:rPr>
                <w:rFonts w:hint="eastAsia" w:ascii="仿宋_GB2312" w:hAnsi="Times New Roman" w:eastAsia="仿宋_GB2312"/>
                <w:sz w:val="20"/>
                <w:szCs w:val="20"/>
                <w:lang w:val="en-US" w:eastAsia="zh-CN"/>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黑体" w:hAnsi="黑体" w:eastAsia="黑体" w:cs="黑体"/>
          <w:b w:val="0"/>
          <w:bCs w:val="0"/>
          <w:i w:val="0"/>
          <w:iCs w:val="0"/>
          <w:caps w:val="0"/>
          <w:color w:val="auto"/>
          <w:spacing w:val="0"/>
          <w:sz w:val="32"/>
          <w:szCs w:val="32"/>
          <w:shd w:val="clear" w:fill="FFFFFF"/>
          <w:vertAlign w:val="baseline"/>
        </w:rPr>
      </w:pPr>
      <w:r>
        <w:rPr>
          <w:rFonts w:hint="eastAsia" w:ascii="黑体" w:hAnsi="黑体" w:eastAsia="黑体" w:cs="黑体"/>
          <w:b w:val="0"/>
          <w:bCs w:val="0"/>
          <w:i w:val="0"/>
          <w:iCs w:val="0"/>
          <w:caps w:val="0"/>
          <w:color w:val="auto"/>
          <w:spacing w:val="0"/>
          <w:sz w:val="32"/>
          <w:szCs w:val="32"/>
          <w:shd w:val="clear" w:fill="FFFFFF"/>
          <w:vertAlign w:val="baseline"/>
        </w:rPr>
        <w:t>四、政府信息公开行政复议、行政诉讼情况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黑体" w:hAnsi="黑体" w:eastAsia="黑体"/>
                <w:sz w:val="32"/>
                <w:szCs w:val="40"/>
              </w:rPr>
            </w:pPr>
            <w:r>
              <w:rPr>
                <w:rFonts w:ascii="黑体" w:hAnsi="黑体" w:eastAsia="黑体"/>
                <w:kern w:val="0"/>
                <w:sz w:val="28"/>
                <w:szCs w:val="28"/>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黑体" w:hAnsi="黑体" w:eastAsia="黑体"/>
                <w:sz w:val="32"/>
                <w:szCs w:val="40"/>
              </w:rPr>
            </w:pPr>
            <w:r>
              <w:rPr>
                <w:rFonts w:ascii="黑体" w:hAnsi="黑体" w:eastAsia="黑体"/>
                <w:kern w:val="0"/>
                <w:sz w:val="28"/>
                <w:szCs w:val="28"/>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黑体" w:hAnsi="黑体" w:eastAsia="黑体"/>
                <w:kern w:val="0"/>
                <w:sz w:val="24"/>
                <w:szCs w:val="24"/>
              </w:rPr>
            </w:pPr>
            <w:r>
              <w:rPr>
                <w:rFonts w:ascii="黑体" w:hAnsi="黑体" w:eastAsia="黑体"/>
                <w:kern w:val="0"/>
                <w:sz w:val="24"/>
                <w:szCs w:val="24"/>
              </w:rPr>
              <w:t>结果</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黑体" w:hAnsi="黑体" w:eastAsia="黑体"/>
                <w:sz w:val="28"/>
                <w:szCs w:val="36"/>
              </w:rPr>
            </w:pPr>
            <w:r>
              <w:rPr>
                <w:rFonts w:ascii="黑体" w:hAnsi="黑体" w:eastAsia="黑体"/>
                <w:kern w:val="0"/>
                <w:sz w:val="24"/>
                <w:szCs w:val="24"/>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黑体" w:hAnsi="黑体" w:eastAsia="黑体"/>
                <w:sz w:val="28"/>
                <w:szCs w:val="36"/>
              </w:rPr>
            </w:pPr>
            <w:r>
              <w:rPr>
                <w:rFonts w:ascii="黑体" w:hAnsi="黑体" w:eastAsia="黑体"/>
                <w:kern w:val="0"/>
                <w:sz w:val="24"/>
                <w:szCs w:val="24"/>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黑体" w:hAnsi="黑体" w:eastAsia="黑体"/>
                <w:sz w:val="28"/>
                <w:szCs w:val="36"/>
              </w:rPr>
            </w:pPr>
            <w:r>
              <w:rPr>
                <w:rFonts w:ascii="黑体" w:hAnsi="黑体" w:eastAsia="黑体"/>
                <w:kern w:val="0"/>
                <w:sz w:val="24"/>
                <w:szCs w:val="24"/>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黑体" w:hAnsi="黑体" w:eastAsia="黑体"/>
                <w:kern w:val="0"/>
                <w:sz w:val="24"/>
                <w:szCs w:val="24"/>
              </w:rPr>
            </w:pPr>
            <w:r>
              <w:rPr>
                <w:rFonts w:ascii="黑体" w:hAnsi="黑体" w:eastAsia="黑体"/>
                <w:kern w:val="0"/>
                <w:sz w:val="24"/>
                <w:szCs w:val="24"/>
              </w:rPr>
              <w:t>尚未</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黑体" w:hAnsi="黑体" w:eastAsia="黑体"/>
                <w:sz w:val="28"/>
                <w:szCs w:val="36"/>
              </w:rPr>
            </w:pPr>
            <w:r>
              <w:rPr>
                <w:rFonts w:ascii="黑体" w:hAnsi="黑体" w:eastAsia="黑体"/>
                <w:kern w:val="0"/>
                <w:sz w:val="24"/>
                <w:szCs w:val="24"/>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黑体" w:hAnsi="黑体" w:eastAsia="黑体"/>
                <w:kern w:val="0"/>
                <w:sz w:val="24"/>
                <w:szCs w:val="24"/>
              </w:rPr>
            </w:pPr>
            <w:r>
              <w:rPr>
                <w:rFonts w:ascii="黑体" w:hAnsi="黑体" w:eastAsia="黑体"/>
                <w:kern w:val="0"/>
                <w:sz w:val="24"/>
                <w:szCs w:val="24"/>
              </w:rPr>
              <w:t>总</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黑体" w:hAnsi="黑体" w:eastAsia="黑体"/>
                <w:sz w:val="28"/>
                <w:szCs w:val="36"/>
              </w:rPr>
            </w:pPr>
            <w:r>
              <w:rPr>
                <w:rFonts w:ascii="黑体" w:hAnsi="黑体" w:eastAsia="黑体"/>
                <w:kern w:val="0"/>
                <w:sz w:val="24"/>
                <w:szCs w:val="24"/>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黑体" w:hAnsi="黑体" w:eastAsia="黑体"/>
                <w:sz w:val="28"/>
                <w:szCs w:val="36"/>
              </w:rPr>
            </w:pPr>
            <w:r>
              <w:rPr>
                <w:rFonts w:ascii="黑体" w:hAnsi="黑体" w:eastAsia="黑体"/>
                <w:kern w:val="0"/>
                <w:sz w:val="24"/>
                <w:szCs w:val="24"/>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黑体" w:hAnsi="黑体" w:eastAsia="黑体"/>
                <w:sz w:val="28"/>
                <w:szCs w:val="36"/>
              </w:rPr>
            </w:pPr>
            <w:bookmarkStart w:id="9" w:name="_Hlk67039688"/>
            <w:r>
              <w:rPr>
                <w:rFonts w:ascii="黑体" w:hAnsi="黑体" w:eastAsia="黑体"/>
                <w:kern w:val="0"/>
                <w:sz w:val="24"/>
                <w:szCs w:val="24"/>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08"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ascii="黑体" w:hAnsi="黑体" w:eastAsia="黑体"/>
                <w:sz w:val="36"/>
                <w:szCs w:val="36"/>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ascii="黑体" w:hAnsi="黑体" w:eastAsia="黑体"/>
                <w:sz w:val="36"/>
                <w:szCs w:val="36"/>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ascii="黑体" w:hAnsi="黑体" w:eastAsia="黑体"/>
                <w:sz w:val="36"/>
                <w:szCs w:val="36"/>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ascii="黑体" w:hAnsi="黑体" w:eastAsia="黑体"/>
                <w:sz w:val="36"/>
                <w:szCs w:val="36"/>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ascii="黑体" w:hAnsi="黑体" w:eastAsia="黑体"/>
                <w:sz w:val="36"/>
                <w:szCs w:val="36"/>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黑体" w:hAnsi="黑体" w:eastAsia="黑体"/>
                <w:sz w:val="28"/>
                <w:szCs w:val="36"/>
              </w:rPr>
            </w:pPr>
            <w:r>
              <w:rPr>
                <w:rFonts w:ascii="黑体" w:hAnsi="黑体" w:eastAsia="黑体"/>
                <w:kern w:val="0"/>
                <w:sz w:val="24"/>
                <w:szCs w:val="24"/>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黑体" w:hAnsi="黑体" w:eastAsia="黑体"/>
                <w:sz w:val="28"/>
                <w:szCs w:val="36"/>
              </w:rPr>
            </w:pPr>
            <w:r>
              <w:rPr>
                <w:rFonts w:ascii="黑体" w:hAnsi="黑体" w:eastAsia="黑体"/>
                <w:kern w:val="0"/>
                <w:sz w:val="24"/>
                <w:szCs w:val="24"/>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黑体" w:hAnsi="黑体" w:eastAsia="黑体"/>
                <w:kern w:val="0"/>
                <w:sz w:val="24"/>
                <w:szCs w:val="24"/>
              </w:rPr>
            </w:pPr>
            <w:r>
              <w:rPr>
                <w:rFonts w:ascii="黑体" w:hAnsi="黑体" w:eastAsia="黑体"/>
                <w:kern w:val="0"/>
                <w:sz w:val="24"/>
                <w:szCs w:val="24"/>
              </w:rPr>
              <w:t>其他</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黑体" w:hAnsi="黑体" w:eastAsia="黑体"/>
                <w:sz w:val="28"/>
                <w:szCs w:val="36"/>
              </w:rPr>
            </w:pPr>
            <w:r>
              <w:rPr>
                <w:rFonts w:ascii="黑体" w:hAnsi="黑体" w:eastAsia="黑体"/>
                <w:kern w:val="0"/>
                <w:sz w:val="24"/>
                <w:szCs w:val="24"/>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黑体" w:hAnsi="黑体" w:eastAsia="黑体"/>
                <w:kern w:val="0"/>
                <w:sz w:val="24"/>
                <w:szCs w:val="24"/>
              </w:rPr>
            </w:pPr>
            <w:r>
              <w:rPr>
                <w:rFonts w:ascii="黑体" w:hAnsi="黑体" w:eastAsia="黑体"/>
                <w:kern w:val="0"/>
                <w:sz w:val="24"/>
                <w:szCs w:val="24"/>
              </w:rPr>
              <w:t>尚未</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黑体" w:hAnsi="黑体" w:eastAsia="黑体"/>
                <w:sz w:val="28"/>
                <w:szCs w:val="36"/>
              </w:rPr>
            </w:pPr>
            <w:r>
              <w:rPr>
                <w:rFonts w:ascii="黑体" w:hAnsi="黑体" w:eastAsia="黑体"/>
                <w:kern w:val="0"/>
                <w:sz w:val="24"/>
                <w:szCs w:val="24"/>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黑体" w:hAnsi="黑体" w:eastAsia="黑体"/>
                <w:sz w:val="28"/>
                <w:szCs w:val="36"/>
              </w:rPr>
            </w:pPr>
            <w:r>
              <w:rPr>
                <w:rFonts w:ascii="黑体" w:hAnsi="黑体" w:eastAsia="黑体"/>
                <w:kern w:val="0"/>
                <w:sz w:val="24"/>
                <w:szCs w:val="24"/>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黑体" w:hAnsi="黑体" w:eastAsia="黑体"/>
                <w:sz w:val="28"/>
                <w:szCs w:val="36"/>
              </w:rPr>
            </w:pPr>
            <w:r>
              <w:rPr>
                <w:rFonts w:ascii="黑体" w:hAnsi="黑体" w:eastAsia="黑体"/>
                <w:kern w:val="0"/>
                <w:sz w:val="24"/>
                <w:szCs w:val="24"/>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黑体" w:hAnsi="黑体" w:eastAsia="黑体"/>
                <w:kern w:val="0"/>
                <w:sz w:val="24"/>
                <w:szCs w:val="24"/>
              </w:rPr>
            </w:pPr>
            <w:r>
              <w:rPr>
                <w:rFonts w:ascii="黑体" w:hAnsi="黑体" w:eastAsia="黑体"/>
                <w:kern w:val="0"/>
                <w:sz w:val="24"/>
                <w:szCs w:val="24"/>
              </w:rPr>
              <w:t>结果</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黑体" w:hAnsi="黑体" w:eastAsia="黑体"/>
                <w:sz w:val="28"/>
                <w:szCs w:val="36"/>
              </w:rPr>
            </w:pPr>
            <w:r>
              <w:rPr>
                <w:rFonts w:ascii="黑体" w:hAnsi="黑体" w:eastAsia="黑体"/>
                <w:kern w:val="0"/>
                <w:sz w:val="24"/>
                <w:szCs w:val="24"/>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黑体" w:hAnsi="黑体" w:eastAsia="黑体"/>
                <w:kern w:val="0"/>
                <w:sz w:val="24"/>
                <w:szCs w:val="24"/>
              </w:rPr>
            </w:pPr>
            <w:r>
              <w:rPr>
                <w:rFonts w:ascii="黑体" w:hAnsi="黑体" w:eastAsia="黑体"/>
                <w:kern w:val="0"/>
                <w:sz w:val="24"/>
                <w:szCs w:val="24"/>
              </w:rPr>
              <w:t>其他</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黑体" w:hAnsi="黑体" w:eastAsia="黑体"/>
                <w:sz w:val="28"/>
                <w:szCs w:val="36"/>
              </w:rPr>
            </w:pPr>
            <w:r>
              <w:rPr>
                <w:rFonts w:ascii="黑体" w:hAnsi="黑体" w:eastAsia="黑体"/>
                <w:kern w:val="0"/>
                <w:sz w:val="24"/>
                <w:szCs w:val="24"/>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黑体" w:hAnsi="黑体" w:eastAsia="黑体"/>
                <w:sz w:val="28"/>
                <w:szCs w:val="36"/>
              </w:rPr>
            </w:pPr>
            <w:r>
              <w:rPr>
                <w:rFonts w:ascii="黑体" w:hAnsi="黑体" w:eastAsia="黑体"/>
                <w:kern w:val="0"/>
                <w:sz w:val="24"/>
                <w:szCs w:val="24"/>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黑体" w:hAnsi="黑体" w:eastAsia="黑体"/>
                <w:sz w:val="28"/>
                <w:szCs w:val="36"/>
              </w:rPr>
            </w:pPr>
            <w:r>
              <w:rPr>
                <w:rFonts w:ascii="黑体" w:hAnsi="黑体" w:eastAsia="黑体"/>
                <w:kern w:val="0"/>
                <w:sz w:val="24"/>
                <w:szCs w:val="24"/>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1</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1</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黑体" w:hAnsi="黑体" w:eastAsia="黑体" w:cs="黑体"/>
          <w:b w:val="0"/>
          <w:bCs w:val="0"/>
          <w:i w:val="0"/>
          <w:iCs w:val="0"/>
          <w:caps w:val="0"/>
          <w:color w:val="auto"/>
          <w:spacing w:val="0"/>
          <w:sz w:val="32"/>
          <w:szCs w:val="32"/>
          <w:shd w:val="clear" w:fill="FFFFFF"/>
          <w:vertAlign w:val="baseline"/>
        </w:rPr>
      </w:pPr>
      <w:r>
        <w:rPr>
          <w:rFonts w:hint="eastAsia" w:ascii="黑体" w:hAnsi="黑体" w:eastAsia="黑体" w:cs="黑体"/>
          <w:b w:val="0"/>
          <w:bCs w:val="0"/>
          <w:i w:val="0"/>
          <w:iCs w:val="0"/>
          <w:caps w:val="0"/>
          <w:color w:val="auto"/>
          <w:spacing w:val="0"/>
          <w:sz w:val="32"/>
          <w:szCs w:val="32"/>
          <w:shd w:val="clear" w:fill="FFFFFF"/>
          <w:vertAlign w:val="baseline"/>
        </w:rPr>
        <w:t>五、存在的主要问题及改进情况</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rPr>
          <w:rFonts w:hint="eastAsia" w:ascii="仿宋_GB2312" w:hAnsi="宋体" w:eastAsia="仿宋_GB2312" w:cs="宋体"/>
          <w:color w:val="333333"/>
          <w:sz w:val="32"/>
          <w:szCs w:val="32"/>
          <w:shd w:val="clear" w:color="auto" w:fill="FFFFFF"/>
          <w:lang w:val="en-US" w:eastAsia="zh-CN"/>
        </w:rPr>
      </w:pPr>
      <w:r>
        <w:rPr>
          <w:rFonts w:hint="eastAsia" w:ascii="楷体_GB2312" w:hAnsi="楷体_GB2312" w:eastAsia="楷体_GB2312" w:cs="楷体_GB2312"/>
          <w:color w:val="333333"/>
          <w:sz w:val="32"/>
          <w:szCs w:val="32"/>
          <w:shd w:val="clear" w:color="auto" w:fill="FFFFFF"/>
          <w:lang w:val="en-US" w:eastAsia="zh-CN"/>
        </w:rPr>
        <w:t>（一）存在问题。</w:t>
      </w:r>
      <w:r>
        <w:rPr>
          <w:rFonts w:hint="eastAsia" w:ascii="仿宋_GB2312" w:hAnsi="宋体" w:eastAsia="仿宋_GB2312" w:cs="宋体"/>
          <w:color w:val="333333"/>
          <w:sz w:val="32"/>
          <w:szCs w:val="32"/>
          <w:shd w:val="clear" w:color="auto" w:fill="FFFFFF"/>
          <w:lang w:val="en-US" w:eastAsia="zh-CN"/>
        </w:rPr>
        <w:t>一是公开方式单一化、陈旧化，主要以文字的信息公开形式为主。二是政策解读形式单一，需要完善多渠道、多途径进行政策解读的能力。三是信息公开业务工作水平有待提升。</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rPr>
          <w:rFonts w:hint="eastAsia" w:ascii="仿宋_GB2312" w:hAnsi="宋体" w:eastAsia="仿宋_GB2312" w:cs="宋体"/>
          <w:color w:val="333333"/>
          <w:sz w:val="32"/>
          <w:szCs w:val="32"/>
          <w:shd w:val="clear" w:color="auto" w:fill="FFFFFF"/>
          <w:lang w:val="en-US" w:eastAsia="zh-CN"/>
        </w:rPr>
      </w:pPr>
      <w:r>
        <w:rPr>
          <w:rFonts w:hint="eastAsia" w:ascii="楷体_GB2312" w:hAnsi="楷体_GB2312" w:eastAsia="楷体_GB2312" w:cs="楷体_GB2312"/>
          <w:color w:val="333333"/>
          <w:sz w:val="32"/>
          <w:szCs w:val="32"/>
          <w:shd w:val="clear" w:color="auto" w:fill="FFFFFF"/>
          <w:lang w:val="en-US" w:eastAsia="zh-CN"/>
        </w:rPr>
        <w:t>（二）改进情况。</w:t>
      </w:r>
      <w:r>
        <w:rPr>
          <w:rFonts w:hint="eastAsia" w:ascii="仿宋_GB2312" w:hAnsi="宋体" w:eastAsia="仿宋_GB2312" w:cs="宋体"/>
          <w:color w:val="333333"/>
          <w:sz w:val="32"/>
          <w:szCs w:val="32"/>
          <w:shd w:val="clear" w:color="auto" w:fill="FFFFFF"/>
          <w:lang w:val="en-US" w:eastAsia="zh-CN"/>
        </w:rPr>
        <w:t>一是运用多种方式加大政务公开的宣传力度，结合政府网站、政务新媒体、新闻发布会等多种渠道进行公开。二是将丰富政策解读内容作为重点，组织建立专家队伍、加强和媒体沟通，做好对重要政策的多角度解读工作。三是丰富政策解读的多样化展示、根据政策文件的具体内容特点，通过用图片、漫画、视频等群众喜闻乐见的形式做好解读工作。四是完善培训工作机制，组织相关人员参加信息公开工作的专业培训，提高人员业务水平，优化政务公开质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黑体" w:hAnsi="黑体" w:eastAsia="黑体" w:cs="黑体"/>
          <w:b w:val="0"/>
          <w:bCs w:val="0"/>
          <w:i w:val="0"/>
          <w:iCs w:val="0"/>
          <w:caps w:val="0"/>
          <w:color w:val="auto"/>
          <w:spacing w:val="0"/>
          <w:sz w:val="32"/>
          <w:szCs w:val="32"/>
          <w:shd w:val="clear" w:fill="FFFFFF"/>
          <w:vertAlign w:val="baseline"/>
        </w:rPr>
      </w:pPr>
      <w:r>
        <w:rPr>
          <w:rFonts w:hint="eastAsia" w:ascii="黑体" w:hAnsi="黑体" w:eastAsia="黑体" w:cs="黑体"/>
          <w:b w:val="0"/>
          <w:bCs w:val="0"/>
          <w:i w:val="0"/>
          <w:iCs w:val="0"/>
          <w:caps w:val="0"/>
          <w:color w:val="auto"/>
          <w:spacing w:val="0"/>
          <w:sz w:val="32"/>
          <w:szCs w:val="32"/>
          <w:shd w:val="clear" w:fill="FFFFFF"/>
          <w:vertAlign w:val="baseline"/>
        </w:rPr>
        <w:t>六、其他需要报告的事项</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rPr>
          <w:rFonts w:hint="eastAsia" w:ascii="仿宋_GB2312" w:hAnsi="宋体" w:eastAsia="仿宋_GB2312" w:cs="宋体"/>
          <w:color w:val="333333"/>
          <w:sz w:val="32"/>
          <w:szCs w:val="32"/>
          <w:shd w:val="clear" w:color="auto" w:fill="FFFFFF"/>
          <w:lang w:val="en-US" w:eastAsia="zh-CN"/>
        </w:rPr>
      </w:pPr>
      <w:r>
        <w:rPr>
          <w:rFonts w:hint="default" w:ascii="楷体_GB2312" w:hAnsi="楷体_GB2312" w:eastAsia="楷体_GB2312" w:cs="楷体_GB2312"/>
          <w:color w:val="333333"/>
          <w:sz w:val="32"/>
          <w:szCs w:val="32"/>
          <w:shd w:val="clear" w:color="auto" w:fill="FFFFFF"/>
          <w:lang w:val="en-US" w:eastAsia="zh-CN"/>
        </w:rPr>
        <w:t>（一）</w:t>
      </w:r>
      <w:r>
        <w:rPr>
          <w:rFonts w:hint="eastAsia" w:ascii="楷体_GB2312" w:hAnsi="楷体_GB2312" w:eastAsia="楷体_GB2312" w:cs="楷体_GB2312"/>
          <w:color w:val="333333"/>
          <w:sz w:val="32"/>
          <w:szCs w:val="32"/>
          <w:shd w:val="clear" w:color="auto" w:fill="FFFFFF"/>
          <w:lang w:val="en-US" w:eastAsia="zh-CN"/>
        </w:rPr>
        <w:t>依申请公开信息处理费收费情况。</w:t>
      </w:r>
      <w:r>
        <w:rPr>
          <w:rFonts w:hint="default" w:ascii="仿宋_GB2312" w:hAnsi="宋体" w:eastAsia="仿宋_GB2312" w:cs="宋体"/>
          <w:color w:val="333333"/>
          <w:sz w:val="32"/>
          <w:szCs w:val="32"/>
          <w:shd w:val="clear" w:color="auto" w:fill="FFFFFF"/>
          <w:lang w:val="en-US" w:eastAsia="zh-CN"/>
        </w:rPr>
        <w:t>市人力资源社会保障局202</w:t>
      </w:r>
      <w:r>
        <w:rPr>
          <w:rFonts w:hint="eastAsia" w:ascii="仿宋_GB2312" w:hAnsi="宋体" w:eastAsia="仿宋_GB2312" w:cs="宋体"/>
          <w:color w:val="333333"/>
          <w:sz w:val="32"/>
          <w:szCs w:val="32"/>
          <w:shd w:val="clear" w:color="auto" w:fill="FFFFFF"/>
          <w:lang w:val="en-US" w:eastAsia="zh-CN"/>
        </w:rPr>
        <w:t>2</w:t>
      </w:r>
      <w:r>
        <w:rPr>
          <w:rFonts w:hint="default" w:ascii="仿宋_GB2312" w:hAnsi="宋体" w:eastAsia="仿宋_GB2312" w:cs="宋体"/>
          <w:color w:val="333333"/>
          <w:sz w:val="32"/>
          <w:szCs w:val="32"/>
          <w:shd w:val="clear" w:color="auto" w:fill="FFFFFF"/>
          <w:lang w:val="en-US" w:eastAsia="zh-CN"/>
        </w:rPr>
        <w:t>年度未收取政府信息公开费用。</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rPr>
          <w:rFonts w:hint="default" w:ascii="仿宋_GB2312" w:hAnsi="宋体" w:eastAsia="仿宋_GB2312" w:cs="宋体"/>
          <w:color w:val="333333"/>
          <w:sz w:val="32"/>
          <w:szCs w:val="32"/>
          <w:shd w:val="clear" w:color="auto" w:fill="FFFFFF"/>
          <w:lang w:val="en-US" w:eastAsia="zh-CN"/>
        </w:rPr>
      </w:pPr>
      <w:r>
        <w:rPr>
          <w:rFonts w:hint="default" w:ascii="楷体_GB2312" w:hAnsi="楷体_GB2312" w:eastAsia="楷体_GB2312" w:cs="楷体_GB2312"/>
          <w:color w:val="333333"/>
          <w:sz w:val="32"/>
          <w:szCs w:val="32"/>
          <w:shd w:val="clear" w:color="auto" w:fill="FFFFFF"/>
          <w:lang w:val="en-US" w:eastAsia="zh-CN"/>
        </w:rPr>
        <w:t>（二）人大代表建议和政协委员提案办理结果公开情况。</w:t>
      </w:r>
      <w:r>
        <w:rPr>
          <w:rFonts w:hint="default" w:ascii="仿宋_GB2312" w:hAnsi="宋体" w:eastAsia="仿宋_GB2312" w:cs="宋体"/>
          <w:color w:val="333333"/>
          <w:sz w:val="32"/>
          <w:szCs w:val="32"/>
          <w:shd w:val="clear" w:color="auto" w:fill="FFFFFF"/>
          <w:lang w:val="en-US" w:eastAsia="zh-CN"/>
        </w:rPr>
        <w:t>我局高度重视建议和提案办理结果公开工作，202</w:t>
      </w:r>
      <w:r>
        <w:rPr>
          <w:rFonts w:hint="eastAsia" w:ascii="仿宋_GB2312" w:hAnsi="宋体" w:eastAsia="仿宋_GB2312" w:cs="宋体"/>
          <w:color w:val="333333"/>
          <w:sz w:val="32"/>
          <w:szCs w:val="32"/>
          <w:shd w:val="clear" w:color="auto" w:fill="FFFFFF"/>
          <w:lang w:val="en-US" w:eastAsia="zh-CN"/>
        </w:rPr>
        <w:t>2</w:t>
      </w:r>
      <w:r>
        <w:rPr>
          <w:rFonts w:hint="default" w:ascii="仿宋_GB2312" w:hAnsi="宋体" w:eastAsia="仿宋_GB2312" w:cs="宋体"/>
          <w:color w:val="333333"/>
          <w:sz w:val="32"/>
          <w:szCs w:val="32"/>
          <w:shd w:val="clear" w:color="auto" w:fill="FFFFFF"/>
          <w:lang w:val="en-US" w:eastAsia="zh-CN"/>
        </w:rPr>
        <w:t>年共办理人大代表建议</w:t>
      </w:r>
      <w:r>
        <w:rPr>
          <w:rFonts w:hint="eastAsia" w:ascii="仿宋_GB2312" w:hAnsi="宋体" w:eastAsia="仿宋_GB2312" w:cs="宋体"/>
          <w:color w:val="333333"/>
          <w:sz w:val="32"/>
          <w:szCs w:val="32"/>
          <w:shd w:val="clear" w:color="auto" w:fill="FFFFFF"/>
          <w:lang w:val="en-US" w:eastAsia="zh-CN"/>
        </w:rPr>
        <w:t>22</w:t>
      </w:r>
      <w:r>
        <w:rPr>
          <w:rFonts w:hint="default" w:ascii="仿宋_GB2312" w:hAnsi="宋体" w:eastAsia="仿宋_GB2312" w:cs="宋体"/>
          <w:color w:val="333333"/>
          <w:sz w:val="32"/>
          <w:szCs w:val="32"/>
          <w:shd w:val="clear" w:color="auto" w:fill="FFFFFF"/>
          <w:lang w:val="en-US" w:eastAsia="zh-CN"/>
        </w:rPr>
        <w:t>件、政协提案</w:t>
      </w:r>
      <w:r>
        <w:rPr>
          <w:rFonts w:hint="eastAsia" w:ascii="仿宋_GB2312" w:hAnsi="宋体" w:eastAsia="仿宋_GB2312" w:cs="宋体"/>
          <w:color w:val="333333"/>
          <w:sz w:val="32"/>
          <w:szCs w:val="32"/>
          <w:shd w:val="clear" w:color="auto" w:fill="FFFFFF"/>
          <w:lang w:val="en-US" w:eastAsia="zh-CN"/>
        </w:rPr>
        <w:t>11</w:t>
      </w:r>
      <w:r>
        <w:rPr>
          <w:rFonts w:hint="default" w:ascii="仿宋_GB2312" w:hAnsi="宋体" w:eastAsia="仿宋_GB2312" w:cs="宋体"/>
          <w:color w:val="333333"/>
          <w:sz w:val="32"/>
          <w:szCs w:val="32"/>
          <w:shd w:val="clear" w:color="auto" w:fill="FFFFFF"/>
          <w:lang w:val="en-US" w:eastAsia="zh-CN"/>
        </w:rPr>
        <w:t>件，按时办结率均为100%，均在局门户网站政府信息公开专栏“建议提案公开”子栏目进行公开。</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rPr>
          <w:rFonts w:hint="default" w:ascii="仿宋_GB2312" w:hAnsi="宋体" w:eastAsia="仿宋_GB2312" w:cs="宋体"/>
          <w:color w:val="333333"/>
          <w:sz w:val="32"/>
          <w:szCs w:val="32"/>
          <w:shd w:val="clear" w:color="auto" w:fill="FFFFFF"/>
          <w:lang w:val="en-US" w:eastAsia="zh-CN"/>
        </w:rPr>
      </w:pPr>
      <w:r>
        <w:rPr>
          <w:rFonts w:hint="default" w:ascii="楷体_GB2312" w:hAnsi="楷体_GB2312" w:eastAsia="楷体_GB2312" w:cs="楷体_GB2312"/>
          <w:color w:val="333333"/>
          <w:sz w:val="32"/>
          <w:szCs w:val="32"/>
          <w:shd w:val="clear" w:color="auto" w:fill="FFFFFF"/>
          <w:lang w:val="en-US" w:eastAsia="zh-CN"/>
        </w:rPr>
        <w:t>（三）落实年度政务公开工作要点情况。</w:t>
      </w:r>
      <w:r>
        <w:rPr>
          <w:rFonts w:hint="default" w:ascii="仿宋_GB2312" w:hAnsi="宋体" w:eastAsia="仿宋_GB2312" w:cs="宋体"/>
          <w:color w:val="333333"/>
          <w:sz w:val="32"/>
          <w:szCs w:val="32"/>
          <w:shd w:val="clear" w:color="auto" w:fill="FFFFFF"/>
          <w:lang w:val="en-US" w:eastAsia="zh-CN"/>
        </w:rPr>
        <w:t>一是深化重点领域信息公开，完善“</w:t>
      </w:r>
      <w:r>
        <w:rPr>
          <w:rFonts w:hint="eastAsia" w:ascii="仿宋_GB2312" w:hAnsi="宋体" w:eastAsia="仿宋_GB2312" w:cs="宋体"/>
          <w:color w:val="333333"/>
          <w:sz w:val="32"/>
          <w:szCs w:val="32"/>
          <w:shd w:val="clear" w:color="auto" w:fill="FFFFFF"/>
          <w:lang w:val="en-US" w:eastAsia="zh-CN"/>
        </w:rPr>
        <w:t>稳岗就业</w:t>
      </w:r>
      <w:r>
        <w:rPr>
          <w:rFonts w:hint="default" w:ascii="仿宋_GB2312" w:hAnsi="宋体" w:eastAsia="仿宋_GB2312" w:cs="宋体"/>
          <w:color w:val="333333"/>
          <w:sz w:val="32"/>
          <w:szCs w:val="32"/>
          <w:shd w:val="clear" w:color="auto" w:fill="FFFFFF"/>
          <w:lang w:val="en-US" w:eastAsia="zh-CN"/>
        </w:rPr>
        <w:t>”“社会</w:t>
      </w:r>
      <w:r>
        <w:rPr>
          <w:rFonts w:hint="eastAsia" w:ascii="仿宋_GB2312" w:hAnsi="宋体" w:eastAsia="仿宋_GB2312" w:cs="宋体"/>
          <w:color w:val="333333"/>
          <w:sz w:val="32"/>
          <w:szCs w:val="32"/>
          <w:shd w:val="clear" w:color="auto" w:fill="FFFFFF"/>
          <w:lang w:val="en-US" w:eastAsia="zh-CN"/>
        </w:rPr>
        <w:t>保险</w:t>
      </w:r>
      <w:r>
        <w:rPr>
          <w:rFonts w:hint="default" w:ascii="仿宋_GB2312" w:hAnsi="宋体" w:eastAsia="仿宋_GB2312" w:cs="宋体"/>
          <w:color w:val="333333"/>
          <w:sz w:val="32"/>
          <w:szCs w:val="32"/>
          <w:shd w:val="clear" w:color="auto" w:fill="FFFFFF"/>
          <w:lang w:val="en-US" w:eastAsia="zh-CN"/>
        </w:rPr>
        <w:t>”栏目，加大高校毕业生、困难人员等就业信息公开力度，深化</w:t>
      </w:r>
      <w:r>
        <w:rPr>
          <w:rFonts w:hint="eastAsia" w:ascii="仿宋_GB2312" w:hAnsi="宋体" w:eastAsia="仿宋_GB2312" w:cs="宋体"/>
          <w:color w:val="333333"/>
          <w:sz w:val="32"/>
          <w:szCs w:val="32"/>
          <w:shd w:val="clear" w:color="auto" w:fill="FFFFFF"/>
          <w:lang w:val="en-US" w:eastAsia="zh-CN"/>
        </w:rPr>
        <w:t>社会保险政策、服务</w:t>
      </w:r>
      <w:r>
        <w:rPr>
          <w:rFonts w:hint="default" w:ascii="仿宋_GB2312" w:hAnsi="宋体" w:eastAsia="仿宋_GB2312" w:cs="宋体"/>
          <w:color w:val="333333"/>
          <w:sz w:val="32"/>
          <w:szCs w:val="32"/>
          <w:shd w:val="clear" w:color="auto" w:fill="FFFFFF"/>
          <w:lang w:val="en-US" w:eastAsia="zh-CN"/>
        </w:rPr>
        <w:t>信息公开。二是</w:t>
      </w:r>
      <w:r>
        <w:rPr>
          <w:rFonts w:hint="eastAsia" w:ascii="仿宋_GB2312" w:hAnsi="宋体" w:eastAsia="仿宋_GB2312" w:cs="宋体"/>
          <w:color w:val="333333"/>
          <w:sz w:val="32"/>
          <w:szCs w:val="32"/>
          <w:shd w:val="clear" w:color="auto" w:fill="FFFFFF"/>
          <w:lang w:val="en-US" w:eastAsia="zh-CN"/>
        </w:rPr>
        <w:t>对照常态化工作任务清单</w:t>
      </w:r>
      <w:r>
        <w:rPr>
          <w:rFonts w:hint="default" w:ascii="仿宋_GB2312" w:hAnsi="宋体" w:eastAsia="仿宋_GB2312" w:cs="宋体"/>
          <w:color w:val="333333"/>
          <w:sz w:val="32"/>
          <w:szCs w:val="32"/>
          <w:shd w:val="clear" w:color="auto" w:fill="FFFFFF"/>
          <w:lang w:val="en-US" w:eastAsia="zh-CN"/>
        </w:rPr>
        <w:t>全面梳理承担的政务公开工作任务，细化分解我局政务公开工作任务共</w:t>
      </w:r>
      <w:r>
        <w:rPr>
          <w:rFonts w:hint="eastAsia" w:ascii="仿宋_GB2312" w:hAnsi="宋体" w:eastAsia="仿宋_GB2312" w:cs="宋体"/>
          <w:color w:val="333333"/>
          <w:sz w:val="32"/>
          <w:szCs w:val="32"/>
          <w:shd w:val="clear" w:color="auto" w:fill="FFFFFF"/>
          <w:lang w:val="en-US" w:eastAsia="zh-CN"/>
        </w:rPr>
        <w:t>16</w:t>
      </w:r>
      <w:r>
        <w:rPr>
          <w:rFonts w:hint="default" w:ascii="仿宋_GB2312" w:hAnsi="宋体" w:eastAsia="仿宋_GB2312" w:cs="宋体"/>
          <w:color w:val="333333"/>
          <w:sz w:val="32"/>
          <w:szCs w:val="32"/>
          <w:shd w:val="clear" w:color="auto" w:fill="FFFFFF"/>
          <w:lang w:val="en-US" w:eastAsia="zh-CN"/>
        </w:rPr>
        <w:t>项，全部按期完成。</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rPr>
          <w:rFonts w:hint="default" w:ascii="仿宋_GB2312" w:hAnsi="宋体" w:eastAsia="仿宋_GB2312" w:cs="宋体"/>
          <w:color w:val="333333"/>
          <w:sz w:val="32"/>
          <w:szCs w:val="32"/>
          <w:shd w:val="clear" w:color="auto" w:fill="FFFFFF"/>
          <w:lang w:val="en-US" w:eastAsia="zh-CN"/>
        </w:rPr>
      </w:pPr>
      <w:r>
        <w:rPr>
          <w:rFonts w:hint="default" w:ascii="楷体_GB2312" w:hAnsi="楷体_GB2312" w:eastAsia="楷体_GB2312" w:cs="楷体_GB2312"/>
          <w:color w:val="333333"/>
          <w:sz w:val="32"/>
          <w:szCs w:val="32"/>
          <w:shd w:val="clear" w:color="auto" w:fill="FFFFFF"/>
          <w:lang w:val="en-US" w:eastAsia="zh-CN"/>
        </w:rPr>
        <w:t>（四）年度政务公开工作创新情况</w:t>
      </w:r>
      <w:r>
        <w:rPr>
          <w:rFonts w:hint="eastAsia" w:ascii="楷体_GB2312" w:hAnsi="楷体_GB2312" w:eastAsia="楷体_GB2312" w:cs="楷体_GB2312"/>
          <w:color w:val="333333"/>
          <w:sz w:val="32"/>
          <w:szCs w:val="32"/>
          <w:shd w:val="clear" w:color="auto" w:fill="FFFFFF"/>
          <w:lang w:val="en-US" w:eastAsia="zh-CN"/>
        </w:rPr>
        <w:t>。</w:t>
      </w:r>
      <w:r>
        <w:rPr>
          <w:rFonts w:hint="default" w:ascii="仿宋_GB2312" w:hAnsi="宋体" w:eastAsia="仿宋_GB2312" w:cs="宋体"/>
          <w:color w:val="333333"/>
          <w:sz w:val="32"/>
          <w:szCs w:val="32"/>
          <w:shd w:val="clear" w:color="auto" w:fill="FFFFFF"/>
          <w:lang w:val="en-US" w:eastAsia="zh-CN"/>
        </w:rPr>
        <w:t>在全市组织开展“人社惠企利民政策宣讲”活动，深入企业、园区、社区等实地宣讲人社政策。抓好毕业季、春节返乡等关键节点，面向大学生、农民工等集中宣传推介，发放宣传资料</w:t>
      </w:r>
      <w:r>
        <w:rPr>
          <w:rFonts w:hint="eastAsia" w:ascii="仿宋_GB2312" w:hAnsi="宋体" w:eastAsia="仿宋_GB2312" w:cs="宋体"/>
          <w:color w:val="333333"/>
          <w:sz w:val="32"/>
          <w:szCs w:val="32"/>
          <w:shd w:val="clear" w:color="auto" w:fill="FFFFFF"/>
          <w:lang w:val="en-US" w:eastAsia="zh-CN"/>
        </w:rPr>
        <w:t>2</w:t>
      </w:r>
      <w:r>
        <w:rPr>
          <w:rFonts w:hint="default" w:ascii="仿宋_GB2312" w:hAnsi="宋体" w:eastAsia="仿宋_GB2312" w:cs="宋体"/>
          <w:color w:val="333333"/>
          <w:sz w:val="32"/>
          <w:szCs w:val="32"/>
          <w:shd w:val="clear" w:color="auto" w:fill="FFFFFF"/>
          <w:lang w:val="en-US" w:eastAsia="zh-CN"/>
        </w:rPr>
        <w:t>万余份</w:t>
      </w:r>
      <w:r>
        <w:rPr>
          <w:rFonts w:hint="eastAsia" w:ascii="仿宋_GB2312" w:hAnsi="宋体" w:eastAsia="仿宋_GB2312" w:cs="宋体"/>
          <w:color w:val="333333"/>
          <w:sz w:val="32"/>
          <w:szCs w:val="32"/>
          <w:shd w:val="clear" w:color="auto" w:fill="FFFFFF"/>
          <w:lang w:val="en-US" w:eastAsia="zh-CN"/>
        </w:rPr>
        <w:t>。向</w:t>
      </w:r>
      <w:r>
        <w:rPr>
          <w:rFonts w:hint="default" w:ascii="仿宋_GB2312" w:hAnsi="宋体" w:eastAsia="仿宋_GB2312" w:cs="宋体"/>
          <w:color w:val="333333"/>
          <w:sz w:val="32"/>
          <w:szCs w:val="32"/>
          <w:shd w:val="clear" w:color="auto" w:fill="FFFFFF"/>
          <w:lang w:val="en-US" w:eastAsia="zh-CN"/>
        </w:rPr>
        <w:t>用人单位和城乡劳动者发送</w:t>
      </w:r>
      <w:r>
        <w:rPr>
          <w:rFonts w:hint="eastAsia" w:ascii="仿宋_GB2312" w:hAnsi="宋体" w:eastAsia="仿宋_GB2312" w:cs="宋体"/>
          <w:color w:val="333333"/>
          <w:sz w:val="32"/>
          <w:szCs w:val="32"/>
          <w:shd w:val="clear" w:color="auto" w:fill="FFFFFF"/>
          <w:lang w:val="en-US" w:eastAsia="zh-CN"/>
        </w:rPr>
        <w:t>稳岗留工、城乡公益性岗位等相关</w:t>
      </w:r>
      <w:r>
        <w:rPr>
          <w:rFonts w:hint="default" w:ascii="仿宋_GB2312" w:hAnsi="宋体" w:eastAsia="仿宋_GB2312" w:cs="宋体"/>
          <w:color w:val="333333"/>
          <w:sz w:val="32"/>
          <w:szCs w:val="32"/>
          <w:shd w:val="clear" w:color="auto" w:fill="FFFFFF"/>
          <w:lang w:val="en-US" w:eastAsia="zh-CN"/>
        </w:rPr>
        <w:t>政策短信47万</w:t>
      </w:r>
      <w:r>
        <w:rPr>
          <w:rFonts w:hint="eastAsia" w:ascii="仿宋_GB2312" w:hAnsi="宋体" w:eastAsia="仿宋_GB2312" w:cs="宋体"/>
          <w:color w:val="333333"/>
          <w:sz w:val="32"/>
          <w:szCs w:val="32"/>
          <w:shd w:val="clear" w:color="auto" w:fill="FFFFFF"/>
          <w:lang w:val="en-US" w:eastAsia="zh-CN"/>
        </w:rPr>
        <w:t>余条，切实</w:t>
      </w:r>
      <w:r>
        <w:rPr>
          <w:rFonts w:hint="default" w:ascii="仿宋_GB2312" w:hAnsi="宋体" w:eastAsia="仿宋_GB2312" w:cs="宋体"/>
          <w:color w:val="333333"/>
          <w:sz w:val="32"/>
          <w:szCs w:val="32"/>
          <w:shd w:val="clear" w:color="auto" w:fill="FFFFFF"/>
          <w:lang w:val="en-US" w:eastAsia="zh-CN"/>
        </w:rPr>
        <w:t>把惠民政策讲实讲透。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vertAlign w:val="baseline"/>
        </w:rPr>
      </w:pPr>
    </w:p>
    <w:sectPr>
      <w:pgSz w:w="11906" w:h="16838"/>
      <w:pgMar w:top="1984" w:right="1474"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decorative"/>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iM2QyMjYwYTRjMjQxNWUzNzRkOTEwMWU4YzllODAifQ=="/>
    <w:docVar w:name="KSO_WPS_MARK_KEY" w:val="fa7ae47c-279f-420c-80ba-5e600ea480ac"/>
  </w:docVars>
  <w:rsids>
    <w:rsidRoot w:val="00000000"/>
    <w:rsid w:val="00903D43"/>
    <w:rsid w:val="07117EF5"/>
    <w:rsid w:val="090412D1"/>
    <w:rsid w:val="09A3142C"/>
    <w:rsid w:val="14F6073C"/>
    <w:rsid w:val="15285AC3"/>
    <w:rsid w:val="17B91F3F"/>
    <w:rsid w:val="1A8A0842"/>
    <w:rsid w:val="1B756B40"/>
    <w:rsid w:val="1DD95C6F"/>
    <w:rsid w:val="24D04133"/>
    <w:rsid w:val="24D657F6"/>
    <w:rsid w:val="26DB60FD"/>
    <w:rsid w:val="27BF3613"/>
    <w:rsid w:val="2E6E5B02"/>
    <w:rsid w:val="360D1549"/>
    <w:rsid w:val="373B04F2"/>
    <w:rsid w:val="3B6022FA"/>
    <w:rsid w:val="42B86E9B"/>
    <w:rsid w:val="44F25977"/>
    <w:rsid w:val="45A357E7"/>
    <w:rsid w:val="462E521F"/>
    <w:rsid w:val="4CF1653F"/>
    <w:rsid w:val="4ECA77AA"/>
    <w:rsid w:val="501716A5"/>
    <w:rsid w:val="507624CA"/>
    <w:rsid w:val="51C969CF"/>
    <w:rsid w:val="5489387F"/>
    <w:rsid w:val="54D44BD5"/>
    <w:rsid w:val="55F901F9"/>
    <w:rsid w:val="563C52DF"/>
    <w:rsid w:val="5807279D"/>
    <w:rsid w:val="58333655"/>
    <w:rsid w:val="5A6779AA"/>
    <w:rsid w:val="5AEA0A03"/>
    <w:rsid w:val="5AFC150E"/>
    <w:rsid w:val="60583D80"/>
    <w:rsid w:val="61EE0454"/>
    <w:rsid w:val="6A090262"/>
    <w:rsid w:val="73BE3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toc 1"/>
    <w:basedOn w:val="1"/>
    <w:next w:val="1"/>
    <w:qFormat/>
    <w:uiPriority w:val="0"/>
    <w:rPr>
      <w:rFonts w:ascii="仿宋" w:hAnsi="Times New Roman" w:eastAsia="仿宋" w:cs="Times New Roman"/>
      <w:b/>
      <w:color w:val="000000"/>
      <w:sz w:val="28"/>
      <w:szCs w:val="2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www.wps.cn/officeDocument/2018/webExtension" Target="webExtensions/webExtension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cap="all" spc="5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221368497559963"/>
          <c:y val="0.166406656178086"/>
          <c:w val="0.541999792337244"/>
          <c:h val="0.7812032325651"/>
        </c:manualLayout>
      </c:layout>
      <c:doughnutChart>
        <c:varyColors val="1"/>
        <c:ser>
          <c:idx val="0"/>
          <c:order val="0"/>
          <c:tx>
            <c:strRef>
              <c:f>Sheet1!$B$1</c:f>
              <c:strCache>
                <c:ptCount val="1"/>
                <c:pt idx="0">
                  <c:v>主动公开信息数量</c:v>
                </c:pt>
              </c:strCache>
            </c:strRef>
          </c:tx>
          <c:spPr/>
          <c:explosion val="0"/>
          <c:dPt>
            <c:idx val="0"/>
            <c:bubble3D val="0"/>
            <c:spPr>
              <a:solidFill>
                <a:schemeClr val="accent1"/>
              </a:solidFill>
              <a:ln>
                <a:noFill/>
              </a:ln>
              <a:effectLst/>
            </c:spPr>
          </c:dPt>
          <c:dPt>
            <c:idx val="1"/>
            <c:bubble3D val="0"/>
            <c:spPr>
              <a:solidFill>
                <a:schemeClr val="accent2"/>
              </a:solidFill>
              <a:ln>
                <a:noFill/>
              </a:ln>
              <a:effectLst/>
            </c:spPr>
          </c:dPt>
          <c:dPt>
            <c:idx val="2"/>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w="6350" cap="flat" cmpd="sng" algn="ctr">
                <a:solidFill>
                  <a:schemeClr val="accent4"/>
                </a:solidFill>
                <a:prstDash val="solid"/>
                <a:miter lim="800000"/>
              </a:ln>
              <a:effectLst/>
              <a:sp3d>
                <a:extrusionClr>
                  <a:srgbClr val="FFFFFF"/>
                </a:extrusionClr>
                <a:contourClr>
                  <a:srgbClr val="FFFFFF"/>
                </a:contourClr>
              </a:sp3d>
            </c:spPr>
          </c:dPt>
          <c:dLbls>
            <c:dLbl>
              <c:idx val="0"/>
              <c:layout>
                <c:manualLayout>
                  <c:x val="-0.00996781227286867"/>
                  <c:y val="-0.0126582278481012"/>
                </c:manualLayout>
              </c:layout>
              <c:tx>
                <c:rich>
                  <a:bodyPr rot="0" spcFirstLastPara="0" vertOverflow="ellipsis" vert="horz" wrap="square" lIns="38100" tIns="19050" rIns="38100" bIns="19050" anchor="ctr" anchorCtr="1"/>
                  <a:lstStyle/>
                  <a:p>
                    <a:pPr defTabSz="914400">
                      <a:defRPr lang="zh-CN" sz="900" b="1" i="0" u="none" strike="noStrike" kern="1200" baseline="0">
                        <a:solidFill>
                          <a:schemeClr val="accent5">
                            <a:lumMod val="75000"/>
                          </a:schemeClr>
                        </a:solidFill>
                        <a:effectLst>
                          <a:innerShdw blurRad="63500" dist="50800">
                            <a:prstClr val="black">
                              <a:alpha val="50000"/>
                            </a:prstClr>
                          </a:innerShdw>
                        </a:effectLst>
                        <a:latin typeface="黑体" panose="02010609060101010101" charset="-122"/>
                        <a:ea typeface="黑体" panose="02010609060101010101" charset="-122"/>
                        <a:cs typeface="黑体" panose="02010609060101010101" charset="-122"/>
                        <a:sym typeface="黑体" panose="02010609060101010101" charset="-122"/>
                      </a:defRPr>
                    </a:pPr>
                    <a:r>
                      <a:rPr sz="1400">
                        <a:solidFill>
                          <a:schemeClr val="accent5">
                            <a:lumMod val="75000"/>
                          </a:schemeClr>
                        </a:solidFill>
                        <a:effectLst>
                          <a:innerShdw blurRad="63500" dist="50800">
                            <a:prstClr val="black">
                              <a:alpha val="50000"/>
                            </a:prstClr>
                          </a:innerShdw>
                        </a:effectLst>
                        <a:latin typeface="方正小标宋简体" panose="03000509000000000000" charset="-122"/>
                        <a:ea typeface="方正小标宋简体" panose="03000509000000000000" charset="-122"/>
                      </a:rPr>
                      <a:t>政务公开平台</a:t>
                    </a:r>
                    <a:endParaRPr sz="1400">
                      <a:solidFill>
                        <a:schemeClr val="accent5">
                          <a:lumMod val="75000"/>
                        </a:schemeClr>
                      </a:solidFill>
                      <a:effectLst>
                        <a:innerShdw blurRad="63500" dist="50800">
                          <a:prstClr val="black">
                            <a:alpha val="50000"/>
                          </a:prstClr>
                        </a:innerShdw>
                      </a:effectLst>
                    </a:endParaRPr>
                  </a:p>
                  <a:p>
                    <a:pPr defTabSz="914400">
                      <a:defRPr lang="zh-CN" sz="900" b="1" i="0" u="none" strike="noStrike" kern="1200" baseline="0">
                        <a:solidFill>
                          <a:schemeClr val="accent5">
                            <a:lumMod val="75000"/>
                          </a:schemeClr>
                        </a:solidFill>
                        <a:effectLst>
                          <a:innerShdw blurRad="63500" dist="50800">
                            <a:prstClr val="black">
                              <a:alpha val="50000"/>
                            </a:prstClr>
                          </a:innerShdw>
                        </a:effectLst>
                        <a:latin typeface="黑体" panose="02010609060101010101" charset="-122"/>
                        <a:ea typeface="黑体" panose="02010609060101010101" charset="-122"/>
                        <a:cs typeface="黑体" panose="02010609060101010101" charset="-122"/>
                        <a:sym typeface="黑体" panose="02010609060101010101" charset="-122"/>
                      </a:defRPr>
                    </a:pPr>
                    <a:r>
                      <a:rPr sz="1000">
                        <a:solidFill>
                          <a:schemeClr val="accent5">
                            <a:lumMod val="75000"/>
                          </a:schemeClr>
                        </a:solidFill>
                        <a:effectLst>
                          <a:innerShdw blurRad="63500" dist="50800">
                            <a:prstClr val="black">
                              <a:alpha val="50000"/>
                            </a:prstClr>
                          </a:innerShdw>
                        </a:effectLst>
                        <a:latin typeface="仿宋_GB2312" panose="02010609030101010101" pitchFamily="3" charset="-122"/>
                        <a:ea typeface="仿宋_GB2312" panose="02010609030101010101" pitchFamily="3" charset="-122"/>
                        <a:cs typeface="仿宋_GB2312" panose="02010609030101010101" pitchFamily="3" charset="-122"/>
                      </a:rPr>
                      <a:t>发布368条</a:t>
                    </a:r>
                    <a:endParaRPr sz="1000">
                      <a:solidFill>
                        <a:schemeClr val="accent5">
                          <a:lumMod val="75000"/>
                        </a:schemeClr>
                      </a:solidFill>
                      <a:effectLst>
                        <a:innerShdw blurRad="63500" dist="50800">
                          <a:prstClr val="black">
                            <a:alpha val="50000"/>
                          </a:prstClr>
                        </a:innerShdw>
                      </a:effectLst>
                      <a:latin typeface="仿宋_GB2312" panose="02010609030101010101" pitchFamily="3" charset="-122"/>
                      <a:ea typeface="仿宋_GB2312" panose="02010609030101010101" pitchFamily="3" charset="-122"/>
                      <a:cs typeface="仿宋_GB2312" panose="02010609030101010101" pitchFamily="3" charset="-122"/>
                    </a:endParaRPr>
                  </a:p>
                  <a:p>
                    <a:pPr defTabSz="914400">
                      <a:defRPr lang="zh-CN" sz="900" b="1" i="0" u="none" strike="noStrike" kern="1200" baseline="0">
                        <a:solidFill>
                          <a:schemeClr val="accent5">
                            <a:lumMod val="75000"/>
                          </a:schemeClr>
                        </a:solidFill>
                        <a:effectLst>
                          <a:innerShdw blurRad="63500" dist="50800">
                            <a:prstClr val="black">
                              <a:alpha val="50000"/>
                            </a:prstClr>
                          </a:innerShdw>
                        </a:effectLst>
                        <a:latin typeface="黑体" panose="02010609060101010101" charset="-122"/>
                        <a:ea typeface="黑体" panose="02010609060101010101" charset="-122"/>
                        <a:cs typeface="黑体" panose="02010609060101010101" charset="-122"/>
                        <a:sym typeface="黑体" panose="02010609060101010101" charset="-122"/>
                      </a:defRPr>
                    </a:pPr>
                    <a:r>
                      <a:rPr sz="1000">
                        <a:solidFill>
                          <a:schemeClr val="accent5">
                            <a:lumMod val="75000"/>
                          </a:schemeClr>
                        </a:solidFill>
                        <a:effectLst>
                          <a:innerShdw blurRad="63500" dist="50800">
                            <a:prstClr val="black">
                              <a:alpha val="50000"/>
                            </a:prstClr>
                          </a:innerShdw>
                        </a:effectLst>
                        <a:latin typeface="仿宋_GB2312" panose="02010609030101010101" pitchFamily="3" charset="-122"/>
                        <a:ea typeface="仿宋_GB2312" panose="02010609030101010101" pitchFamily="3" charset="-122"/>
                        <a:cs typeface="仿宋_GB2312" panose="02010609030101010101" pitchFamily="3" charset="-122"/>
                      </a:rPr>
                      <a:t>占比37%</a:t>
                    </a:r>
                    <a:endParaRPr sz="1000">
                      <a:solidFill>
                        <a:schemeClr val="accent5">
                          <a:lumMod val="75000"/>
                        </a:schemeClr>
                      </a:solidFill>
                      <a:effectLst>
                        <a:innerShdw blurRad="63500" dist="50800">
                          <a:prstClr val="black">
                            <a:alpha val="50000"/>
                          </a:prstClr>
                        </a:innerShdw>
                      </a:effectLst>
                      <a:latin typeface="仿宋_GB2312" panose="02010609030101010101" pitchFamily="3" charset="-122"/>
                      <a:ea typeface="仿宋_GB2312" panose="02010609030101010101" pitchFamily="3" charset="-122"/>
                      <a:cs typeface="仿宋_GB2312" panose="02010609030101010101" pitchFamily="3" charset="-122"/>
                    </a:endParaRPr>
                  </a:p>
                </c:rich>
              </c:tx>
              <c:showLegendKey val="0"/>
              <c:showVal val="1"/>
              <c:showCatName val="1"/>
              <c:showSerName val="0"/>
              <c:showPercent val="1"/>
              <c:showBubbleSize val="0"/>
              <c:separator>
</c:separator>
              <c:extLst>
                <c:ext xmlns:c15="http://schemas.microsoft.com/office/drawing/2012/chart" uri="{CE6537A1-D6FC-4f65-9D91-7224C49458BB}">
                  <c15:layout>
                    <c:manualLayout>
                      <c:w val="0.230920984321462"/>
                      <c:h val="0.197257383966245"/>
                    </c:manualLayout>
                  </c15:layout>
                </c:ext>
              </c:extLst>
            </c:dLbl>
            <c:dLbl>
              <c:idx val="1"/>
              <c:layout>
                <c:manualLayout>
                  <c:x val="-0.00622988267054304"/>
                  <c:y val="-0.00196947316592811"/>
                </c:manualLayout>
              </c:layout>
              <c:tx>
                <c:rich>
                  <a:bodyPr rot="0" spcFirstLastPara="0" vertOverflow="ellipsis" vert="horz" wrap="square" lIns="38100" tIns="19050" rIns="38100" bIns="19050" anchor="ctr" anchorCtr="1"/>
                  <a:lstStyle/>
                  <a:p>
                    <a:pPr defTabSz="914400">
                      <a:defRPr lang="zh-CN" sz="900" b="1" i="0" u="none" strike="noStrike" kern="1200" baseline="0">
                        <a:solidFill>
                          <a:schemeClr val="accent5">
                            <a:lumMod val="75000"/>
                          </a:schemeClr>
                        </a:solidFill>
                        <a:effectLst>
                          <a:innerShdw blurRad="63500" dist="50800">
                            <a:prstClr val="black">
                              <a:alpha val="50000"/>
                            </a:prstClr>
                          </a:innerShdw>
                        </a:effectLst>
                        <a:latin typeface="黑体" panose="02010609060101010101" charset="-122"/>
                        <a:ea typeface="黑体" panose="02010609060101010101" charset="-122"/>
                        <a:cs typeface="黑体" panose="02010609060101010101" charset="-122"/>
                        <a:sym typeface="黑体" panose="02010609060101010101" charset="-122"/>
                      </a:defRPr>
                    </a:pPr>
                    <a:r>
                      <a:rPr lang="en-US" altLang="zh-CN" sz="1400">
                        <a:solidFill>
                          <a:schemeClr val="accent5">
                            <a:lumMod val="75000"/>
                          </a:schemeClr>
                        </a:solidFill>
                        <a:effectLst>
                          <a:innerShdw blurRad="63500" dist="50800">
                            <a:prstClr val="black">
                              <a:alpha val="50000"/>
                            </a:prstClr>
                          </a:innerShdw>
                        </a:effectLst>
                        <a:latin typeface="方正小标宋简体" panose="03000509000000000000" charset="-122"/>
                        <a:ea typeface="方正小标宋简体" panose="03000509000000000000" charset="-122"/>
                        <a:cs typeface="方正小标宋简体" panose="03000509000000000000" charset="-122"/>
                        <a:sym typeface="黑体" panose="02010609060101010101" charset="-122"/>
                      </a:rPr>
                      <a:t>“</a:t>
                    </a:r>
                    <a:r>
                      <a:rPr altLang="en-US" sz="1400">
                        <a:solidFill>
                          <a:schemeClr val="accent5">
                            <a:lumMod val="75000"/>
                          </a:schemeClr>
                        </a:solidFill>
                        <a:effectLst>
                          <a:innerShdw blurRad="63500" dist="50800">
                            <a:prstClr val="black">
                              <a:alpha val="50000"/>
                            </a:prstClr>
                          </a:innerShdw>
                        </a:effectLst>
                        <a:latin typeface="方正小标宋简体" panose="03000509000000000000" charset="-122"/>
                        <a:ea typeface="方正小标宋简体" panose="03000509000000000000" charset="-122"/>
                        <a:cs typeface="方正小标宋简体" panose="03000509000000000000" charset="-122"/>
                        <a:sym typeface="黑体" panose="02010609060101010101" charset="-122"/>
                      </a:rPr>
                      <a:t>聊城人社</a:t>
                    </a:r>
                    <a:r>
                      <a:rPr lang="en-US" altLang="zh-CN" sz="1400">
                        <a:solidFill>
                          <a:schemeClr val="accent5">
                            <a:lumMod val="75000"/>
                          </a:schemeClr>
                        </a:solidFill>
                        <a:effectLst>
                          <a:innerShdw blurRad="63500" dist="50800">
                            <a:prstClr val="black">
                              <a:alpha val="50000"/>
                            </a:prstClr>
                          </a:innerShdw>
                        </a:effectLst>
                        <a:latin typeface="方正小标宋简体" panose="03000509000000000000" charset="-122"/>
                        <a:ea typeface="方正小标宋简体" panose="03000509000000000000" charset="-122"/>
                        <a:cs typeface="方正小标宋简体" panose="03000509000000000000" charset="-122"/>
                        <a:sym typeface="黑体" panose="02010609060101010101" charset="-122"/>
                      </a:rPr>
                      <a:t>”</a:t>
                    </a:r>
                    <a:r>
                      <a:rPr sz="1400">
                        <a:solidFill>
                          <a:schemeClr val="accent5">
                            <a:lumMod val="75000"/>
                          </a:schemeClr>
                        </a:solidFill>
                        <a:effectLst>
                          <a:innerShdw blurRad="63500" dist="50800">
                            <a:prstClr val="black">
                              <a:alpha val="50000"/>
                            </a:prstClr>
                          </a:innerShdw>
                        </a:effectLst>
                        <a:latin typeface="方正小标宋简体" panose="03000509000000000000" charset="-122"/>
                        <a:ea typeface="方正小标宋简体" panose="03000509000000000000" charset="-122"/>
                        <a:cs typeface="方正小标宋简体" panose="03000509000000000000" charset="-122"/>
                        <a:sym typeface="黑体" panose="02010609060101010101" charset="-122"/>
                      </a:rPr>
                      <a:t>公众号</a:t>
                    </a:r>
                    <a:endParaRPr>
                      <a:solidFill>
                        <a:schemeClr val="accent5">
                          <a:lumMod val="75000"/>
                        </a:schemeClr>
                      </a:solidFill>
                      <a:effectLst>
                        <a:innerShdw blurRad="63500" dist="50800">
                          <a:prstClr val="black">
                            <a:alpha val="50000"/>
                          </a:prstClr>
                        </a:innerShdw>
                      </a:effectLst>
                      <a:latin typeface="黑体" panose="02010609060101010101" charset="-122"/>
                      <a:ea typeface="黑体" panose="02010609060101010101" charset="-122"/>
                      <a:cs typeface="黑体" panose="02010609060101010101" charset="-122"/>
                      <a:sym typeface="黑体" panose="02010609060101010101" charset="-122"/>
                    </a:endParaRPr>
                  </a:p>
                  <a:p>
                    <a:pPr defTabSz="914400">
                      <a:defRPr lang="zh-CN" sz="900" b="1" i="0" u="none" strike="noStrike" kern="1200" baseline="0">
                        <a:solidFill>
                          <a:schemeClr val="accent5">
                            <a:lumMod val="75000"/>
                          </a:schemeClr>
                        </a:solidFill>
                        <a:effectLst>
                          <a:innerShdw blurRad="63500" dist="50800">
                            <a:prstClr val="black">
                              <a:alpha val="50000"/>
                            </a:prstClr>
                          </a:innerShdw>
                        </a:effectLst>
                        <a:latin typeface="黑体" panose="02010609060101010101" charset="-122"/>
                        <a:ea typeface="黑体" panose="02010609060101010101" charset="-122"/>
                        <a:cs typeface="黑体" panose="02010609060101010101" charset="-122"/>
                        <a:sym typeface="黑体" panose="02010609060101010101" charset="-122"/>
                      </a:defRPr>
                    </a:pPr>
                    <a:r>
                      <a:rPr sz="1000">
                        <a:solidFill>
                          <a:schemeClr val="accent5">
                            <a:lumMod val="75000"/>
                          </a:schemeClr>
                        </a:solidFill>
                        <a:effectLst>
                          <a:innerShdw blurRad="63500" dist="50800">
                            <a:prstClr val="black">
                              <a:alpha val="50000"/>
                            </a:prstClr>
                          </a:innerShdw>
                        </a:effectLst>
                        <a:latin typeface="楷体_GB2312" panose="02010609030101010101" pitchFamily="3" charset="-122"/>
                        <a:ea typeface="楷体_GB2312" panose="02010609030101010101" pitchFamily="3" charset="-122"/>
                        <a:cs typeface="楷体_GB2312" panose="02010609030101010101" pitchFamily="3" charset="-122"/>
                        <a:sym typeface="黑体" panose="02010609060101010101" charset="-122"/>
                      </a:rPr>
                      <a:t>发布186条占比18%</a:t>
                    </a:r>
                    <a:endParaRPr sz="1000">
                      <a:solidFill>
                        <a:schemeClr val="accent5">
                          <a:lumMod val="75000"/>
                        </a:schemeClr>
                      </a:solidFill>
                      <a:effectLst>
                        <a:innerShdw blurRad="63500" dist="50800">
                          <a:prstClr val="black">
                            <a:alpha val="50000"/>
                          </a:prstClr>
                        </a:innerShdw>
                      </a:effectLst>
                      <a:latin typeface="楷体_GB2312" panose="02010609030101010101" pitchFamily="3" charset="-122"/>
                      <a:ea typeface="楷体_GB2312" panose="02010609030101010101" pitchFamily="3" charset="-122"/>
                      <a:cs typeface="楷体_GB2312" panose="02010609030101010101" pitchFamily="3" charset="-122"/>
                      <a:sym typeface="黑体" panose="02010609060101010101" charset="-122"/>
                    </a:endParaRPr>
                  </a:p>
                </c:rich>
              </c:tx>
              <c:showLegendKey val="0"/>
              <c:showVal val="1"/>
              <c:showCatName val="1"/>
              <c:showSerName val="0"/>
              <c:showPercent val="1"/>
              <c:showBubbleSize val="0"/>
              <c:separator>
</c:separator>
              <c:extLst>
                <c:ext xmlns:c15="http://schemas.microsoft.com/office/drawing/2012/chart" uri="{CE6537A1-D6FC-4f65-9D91-7224C49458BB}">
                  <c15:layout>
                    <c:manualLayout>
                      <c:w val="0.33973626830028"/>
                      <c:h val="0.162973904480551"/>
                    </c:manualLayout>
                  </c15:layout>
                </c:ext>
              </c:extLst>
            </c:dLbl>
            <c:dLbl>
              <c:idx val="2"/>
              <c:layout>
                <c:manualLayout>
                  <c:x val="-0.00124597653410861"/>
                  <c:y val="0.00421940928270042"/>
                </c:manualLayout>
              </c:layout>
              <c:tx>
                <c:rich>
                  <a:bodyPr rot="0" spcFirstLastPara="0" vertOverflow="ellipsis" vert="horz" wrap="square" lIns="38100" tIns="19050" rIns="38100" bIns="19050" anchor="ctr" anchorCtr="1"/>
                  <a:lstStyle/>
                  <a:p>
                    <a:pPr defTabSz="914400">
                      <a:defRPr lang="zh-CN" sz="900" b="1" i="0" u="none" strike="noStrike" kern="1200" baseline="0">
                        <a:solidFill>
                          <a:schemeClr val="accent5">
                            <a:lumMod val="75000"/>
                          </a:schemeClr>
                        </a:solidFill>
                        <a:effectLst>
                          <a:innerShdw blurRad="63500" dist="50800">
                            <a:prstClr val="black">
                              <a:alpha val="50000"/>
                            </a:prstClr>
                          </a:innerShdw>
                        </a:effectLst>
                        <a:latin typeface="黑体" panose="02010609060101010101" charset="-122"/>
                        <a:ea typeface="黑体" panose="02010609060101010101" charset="-122"/>
                        <a:cs typeface="黑体" panose="02010609060101010101" charset="-122"/>
                        <a:sym typeface="黑体" panose="02010609060101010101" charset="-122"/>
                      </a:defRPr>
                    </a:pPr>
                    <a:r>
                      <a:rPr sz="1400">
                        <a:solidFill>
                          <a:schemeClr val="accent5">
                            <a:lumMod val="75000"/>
                          </a:schemeClr>
                        </a:solidFill>
                        <a:effectLst>
                          <a:innerShdw blurRad="63500" dist="50800">
                            <a:prstClr val="black">
                              <a:alpha val="50000"/>
                            </a:prstClr>
                          </a:innerShdw>
                        </a:effectLst>
                        <a:latin typeface="方正小标宋简体" panose="03000509000000000000" charset="-122"/>
                        <a:ea typeface="方正小标宋简体" panose="03000509000000000000" charset="-122"/>
                        <a:cs typeface="黑体" panose="02010609060101010101" charset="-122"/>
                        <a:sym typeface="黑体" panose="02010609060101010101" charset="-122"/>
                      </a:rPr>
                      <a:t>门户网站</a:t>
                    </a:r>
                    <a:endParaRPr>
                      <a:solidFill>
                        <a:schemeClr val="accent5">
                          <a:lumMod val="75000"/>
                        </a:schemeClr>
                      </a:solidFill>
                      <a:effectLst>
                        <a:innerShdw blurRad="63500" dist="50800">
                          <a:prstClr val="black">
                            <a:alpha val="50000"/>
                          </a:prstClr>
                        </a:innerShdw>
                      </a:effectLst>
                      <a:latin typeface="黑体" panose="02010609060101010101" charset="-122"/>
                      <a:ea typeface="黑体" panose="02010609060101010101" charset="-122"/>
                      <a:cs typeface="黑体" panose="02010609060101010101" charset="-122"/>
                      <a:sym typeface="黑体" panose="02010609060101010101" charset="-122"/>
                    </a:endParaRPr>
                  </a:p>
                  <a:p>
                    <a:pPr defTabSz="914400">
                      <a:defRPr lang="zh-CN" sz="900" b="1" i="0" u="none" strike="noStrike" kern="1200" baseline="0">
                        <a:solidFill>
                          <a:schemeClr val="accent5">
                            <a:lumMod val="75000"/>
                          </a:schemeClr>
                        </a:solidFill>
                        <a:effectLst>
                          <a:innerShdw blurRad="63500" dist="50800">
                            <a:prstClr val="black">
                              <a:alpha val="50000"/>
                            </a:prstClr>
                          </a:innerShdw>
                        </a:effectLst>
                        <a:latin typeface="黑体" panose="02010609060101010101" charset="-122"/>
                        <a:ea typeface="黑体" panose="02010609060101010101" charset="-122"/>
                        <a:cs typeface="黑体" panose="02010609060101010101" charset="-122"/>
                        <a:sym typeface="黑体" panose="02010609060101010101" charset="-122"/>
                      </a:defRPr>
                    </a:pPr>
                    <a:r>
                      <a:rPr>
                        <a:solidFill>
                          <a:schemeClr val="accent5">
                            <a:lumMod val="75000"/>
                          </a:schemeClr>
                        </a:solidFill>
                        <a:effectLst>
                          <a:innerShdw blurRad="63500" dist="50800">
                            <a:prstClr val="black">
                              <a:alpha val="50000"/>
                            </a:prstClr>
                          </a:innerShdw>
                        </a:effectLst>
                        <a:latin typeface="黑体" panose="02010609060101010101" charset="-122"/>
                        <a:ea typeface="黑体" panose="02010609060101010101" charset="-122"/>
                        <a:cs typeface="黑体" panose="02010609060101010101" charset="-122"/>
                        <a:sym typeface="黑体" panose="02010609060101010101" charset="-122"/>
                      </a:rPr>
                      <a:t> </a:t>
                    </a:r>
                    <a:r>
                      <a:rPr sz="1000">
                        <a:solidFill>
                          <a:schemeClr val="accent5">
                            <a:lumMod val="75000"/>
                          </a:schemeClr>
                        </a:solidFill>
                        <a:effectLst>
                          <a:innerShdw blurRad="63500" dist="50800">
                            <a:prstClr val="black">
                              <a:alpha val="50000"/>
                            </a:prstClr>
                          </a:innerShdw>
                        </a:effectLst>
                        <a:latin typeface="楷体_GB2312" panose="02010609030101010101" pitchFamily="3" charset="-122"/>
                        <a:ea typeface="楷体_GB2312" panose="02010609030101010101" pitchFamily="3" charset="-122"/>
                        <a:cs typeface="楷体_GB2312" panose="02010609030101010101" pitchFamily="3" charset="-122"/>
                        <a:sym typeface="黑体" panose="02010609060101010101" charset="-122"/>
                      </a:rPr>
                      <a:t>发布453条</a:t>
                    </a:r>
                    <a:endParaRPr sz="1000">
                      <a:solidFill>
                        <a:schemeClr val="accent5">
                          <a:lumMod val="75000"/>
                        </a:schemeClr>
                      </a:solidFill>
                      <a:effectLst>
                        <a:innerShdw blurRad="63500" dist="50800">
                          <a:prstClr val="black">
                            <a:alpha val="50000"/>
                          </a:prstClr>
                        </a:innerShdw>
                      </a:effectLst>
                      <a:latin typeface="楷体_GB2312" panose="02010609030101010101" pitchFamily="3" charset="-122"/>
                      <a:ea typeface="楷体_GB2312" panose="02010609030101010101" pitchFamily="3" charset="-122"/>
                      <a:cs typeface="楷体_GB2312" panose="02010609030101010101" pitchFamily="3" charset="-122"/>
                      <a:sym typeface="黑体" panose="02010609060101010101" charset="-122"/>
                    </a:endParaRPr>
                  </a:p>
                  <a:p>
                    <a:pPr defTabSz="914400">
                      <a:defRPr lang="zh-CN" sz="900" b="1" i="0" u="none" strike="noStrike" kern="1200" baseline="0">
                        <a:solidFill>
                          <a:schemeClr val="accent5">
                            <a:lumMod val="75000"/>
                          </a:schemeClr>
                        </a:solidFill>
                        <a:effectLst>
                          <a:innerShdw blurRad="63500" dist="50800">
                            <a:prstClr val="black">
                              <a:alpha val="50000"/>
                            </a:prstClr>
                          </a:innerShdw>
                        </a:effectLst>
                        <a:latin typeface="黑体" panose="02010609060101010101" charset="-122"/>
                        <a:ea typeface="黑体" panose="02010609060101010101" charset="-122"/>
                        <a:cs typeface="黑体" panose="02010609060101010101" charset="-122"/>
                        <a:sym typeface="黑体" panose="02010609060101010101" charset="-122"/>
                      </a:defRPr>
                    </a:pPr>
                    <a:r>
                      <a:rPr sz="1000">
                        <a:solidFill>
                          <a:schemeClr val="accent5">
                            <a:lumMod val="75000"/>
                          </a:schemeClr>
                        </a:solidFill>
                        <a:effectLst>
                          <a:innerShdw blurRad="63500" dist="50800">
                            <a:prstClr val="black">
                              <a:alpha val="50000"/>
                            </a:prstClr>
                          </a:innerShdw>
                        </a:effectLst>
                        <a:latin typeface="楷体_GB2312" panose="02010609030101010101" pitchFamily="3" charset="-122"/>
                        <a:ea typeface="楷体_GB2312" panose="02010609030101010101" pitchFamily="3" charset="-122"/>
                        <a:cs typeface="楷体_GB2312" panose="02010609030101010101" pitchFamily="3" charset="-122"/>
                        <a:sym typeface="黑体" panose="02010609060101010101" charset="-122"/>
                      </a:rPr>
                      <a:t>占比45%</a:t>
                    </a:r>
                    <a:endParaRPr sz="1000">
                      <a:solidFill>
                        <a:schemeClr val="accent5">
                          <a:lumMod val="75000"/>
                        </a:schemeClr>
                      </a:solidFill>
                      <a:effectLst>
                        <a:innerShdw blurRad="63500" dist="50800">
                          <a:prstClr val="black">
                            <a:alpha val="50000"/>
                          </a:prstClr>
                        </a:innerShdw>
                      </a:effectLst>
                      <a:latin typeface="楷体_GB2312" panose="02010609030101010101" pitchFamily="3" charset="-122"/>
                      <a:ea typeface="楷体_GB2312" panose="02010609030101010101" pitchFamily="3" charset="-122"/>
                      <a:cs typeface="楷体_GB2312" panose="02010609030101010101" pitchFamily="3" charset="-122"/>
                      <a:sym typeface="黑体" panose="02010609060101010101" charset="-122"/>
                    </a:endParaRPr>
                  </a:p>
                </c:rich>
              </c:tx>
              <c:showLegendKey val="0"/>
              <c:showVal val="1"/>
              <c:showCatName val="1"/>
              <c:showSerName val="0"/>
              <c:showPercent val="1"/>
              <c:showBubbleSize val="0"/>
              <c:separator>
</c:separator>
              <c:extLst>
                <c:ext xmlns:c15="http://schemas.microsoft.com/office/drawing/2012/chart" uri="{CE6537A1-D6FC-4f65-9D91-7224C49458BB}">
                  <c15:layout>
                    <c:manualLayout>
                      <c:w val="0.155227909874364"/>
                      <c:h val="0.166315049226442"/>
                    </c:manualLayout>
                  </c15:layout>
                </c:ext>
              </c:extLst>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accent5">
                        <a:lumMod val="75000"/>
                      </a:schemeClr>
                    </a:solidFill>
                    <a:effectLst>
                      <a:innerShdw blurRad="63500" dist="50800">
                        <a:prstClr val="black">
                          <a:alpha val="50000"/>
                        </a:prstClr>
                      </a:innerShdw>
                    </a:effectLst>
                    <a:latin typeface="黑体" panose="02010609060101010101" charset="-122"/>
                    <a:ea typeface="黑体" panose="02010609060101010101" charset="-122"/>
                    <a:cs typeface="黑体" panose="02010609060101010101" charset="-122"/>
                    <a:sym typeface="黑体" panose="02010609060101010101" charset="-122"/>
                  </a:defRPr>
                </a:pPr>
              </a:p>
            </c:txPr>
            <c:showLegendKey val="0"/>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政务公开平台</c:v>
                </c:pt>
                <c:pt idx="1">
                  <c:v>聊城人社公众号</c:v>
                </c:pt>
                <c:pt idx="2">
                  <c:v>局门户网站</c:v>
                </c:pt>
              </c:strCache>
            </c:strRef>
          </c:cat>
          <c:val>
            <c:numRef>
              <c:f>Sheet1!$B$2:$B$4</c:f>
              <c:numCache>
                <c:formatCode>General</c:formatCode>
                <c:ptCount val="3"/>
                <c:pt idx="0">
                  <c:v>368</c:v>
                </c:pt>
                <c:pt idx="1">
                  <c:v>186</c:v>
                </c:pt>
                <c:pt idx="2">
                  <c:v>453</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t"/>
      <c:layout>
        <c:manualLayout>
          <c:xMode val="edge"/>
          <c:yMode val="edge"/>
          <c:x val="0.298089061364344"/>
          <c:y val="0.105333333333333"/>
        </c:manualLayout>
      </c:layout>
      <c:overlay val="1"/>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webExtensions/_rels/webExtension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package" Target="../embeddings/Workbook2.xlsx"/></Relationships>
</file>

<file path=word/webExtensions/webExtension1.xml><?xml version="1.0" encoding="utf-8"?>
<wpswe:webExtension xmlns:wpswe="http://www.wps.cn/officeDocument/2018/webExtension">
  <wpswe:extSource id="dschart" version="1.0"/>
  <wpswe:properties>
    <wpswe:property key="DiscardFirstCodeChange" value="0"/>
    <wpswe:property key="autoSnapshot" value="0"/>
    <wpswe:property key="dschart" value="{&quot;dschart_data&quot;:{&quot;blockId&quot;:&quot;160708166709743559&quot;,&quot;chart_type&quot;:&quot;柱状图&quot;,&quot;classifty_type&quot;:[&quot;比较类&quot;],&quot;dataSrc&quot;:{&quot;data&quot;:[[[&quot;年度&quot;,&quot;政府信息公开申请数量&quot;],[&quot;2019年&quot;,&quot;8件&quot;],[&quot;2020年&quot;,&quot;26件&quot;],[&quot;2021年&quot;,&quot;17件&quot;],[&quot;2022年&quot;,&quot;15件&quot;]]],&quot;dataType&quot;:&quot;obejct-table&quot;,&quot;download&quot;:false,&quot;srcType&quot;:&quot;local&quot;,&quot;url&quot;:&quot;&quot;},&quot;function_type&quot;:[&quot;柱形图&quot;],&quot;gif&quot;:&quot;//web.docer.wpscdn.cn/docer/ds-page/images/444734748594536323.gif?imageView2/2/w/500/quality/90&quot;,&quot;index&quot;:4,&quot;isFree&quot;:&quot;0&quot;,&quot;label&quot;:&quot;&lt;e-barbasic-chart&gt;&quot;,&quot;projectId&quot;:&quot;160732933154413062&quot;,&quot;props&quot;:{&quot;animation&quot;:{&quot;duration&quot;:&quot;2&quot;,&quot;easeStyle&quot;:&quot;&quot;,&quot;endPause&quot;:&quot;1&quot;,&quot;moveOptions&quot;:[&quot;纵向同步拉伸&quot;,&quot;纵向依次拉伸&quot;,&quot;横向同步展开&quot;,&quot;横向依次展开&quot;],&quot;moveStyle&quot;:&quot;纵向同步拉伸&quot;,&quot;startDelay&quot;:&quot;0&quot;,&quot;transition&quot;:true},&quot;axis&quot;:{&quot;color&quot;:&quot;#a1a1a1&quot;,&quot;grid&quot;:{&quot;color&quot;:&quot;#ccc&quot;,&quot;gridLineWidth&quot;:&quot;1&quot;,&quot;lineStyle&quot;:&quot;dashline&quot;,&quot;show&quot;:&quot;none&quot;},&quot;x&quot;:{&quot;axisColor&quot;:&quot;#bfbfbf&quot;,&quot;axisLineWidth&quot;:&quot;1&quot;,&quot;axisShow&quot;:false,&quot;labelAngle&quot;:&quot;0&quot;,&quot;labelDirection&quot;:&quot;自动&quot;,&quot;labelDirectionOptions&quot;:[&quot;自动&quot;,&quot;横排&quot;,&quot;竖排&quot;],&quot;labelShow&quot;:true,&quot;name&quot;:&quot;&quot;},&quot;y&quot;:{&quot;axisColor&quot;:&quot;#bfbfbf&quot;,&quot;axisLineWidth&quot;:&quot;1&quot;,&quot;axisShow&quot;:false,&quot;labelShow&quot;:false,&quot;labelSuffix&quot;:&quot;&quot;,&quot;name&quot;:&quot;&quot;,&quot;range&quot;:[],&quot;stepOfLabel&quot;:&quot;&quot;}},&quot;backgroundColor&quot;:&quot;&quot;,&quot;colors&quot;:{&quot;colorControlers&quot;:[&quot;single&quot;,&quot;multiple&quot;,&quot;linear&quot;],&quot;list&quot;:[&quot;#a8dffaff&quot;,&quot;#4a6fe2ff&quot;,1,2],&quot;type&quot;:&quot;multiple&quot;},&quot;display&quot;:{&quot;bar4CornerRadius&quot;:[18,18,18,18],&quot;barWidthPercent&quot;:&quot;0.5&quot;,&quot;borderColor&quot;:&quot;&quot;,&quot;borderWidth&quot;:&quot;0&quot;,&quot;fillOpacity&quot;:&quot;1&quot;},&quot;font&quot;:{&quot;color&quot;:&quot;#333333ff&quot;,&quot;fontFamily&quot;:&quot;阿里巴巴普惠体 常规&quot;,&quot;fontSize&quot;:16},&quot;label&quot;:{&quot;display&quot;:true,&quot;positionChoice&quot;:&quot;上面&quot;,&quot;positionOptions&quot;:[&quot;上面&quot;,&quot;内部居下&quot;],&quot;suffix&quot;:&quot;&quot;,&quot;textLabel&quot;:{&quot;color&quot;:&quot;#333333ff&quot;,&quot;fontFamily&quot;:&quot;阿里巴巴普惠体 常规&quot;,&quot;fontSize&quot;:16}},&quot;legend&quot;:{&quot;color&quot;:[&quot;#545454&quot;],&quot;fontFamily&quot;:[&quot;黑体&quot;],&quot;fontSize&quot;:&quot;14&quot;,&quot;lineHeight&quot;:&quot;15&quot;,&quot;show&quot;:true,&quot;style&quot;:&quot;&quot;,&quot;styleOptions&quot;:[],&quot;xPosition&quot;:&quot;center&quot;,&quot;yPosition&quot;:&quot;bottom&quot;},&quot;logoDisplay&quot;:{&quot;bottomLineHeight&quot;:&quot;15&quot;,&quot;imgHeight&quot;:&quot;32&quot;,&quot;imgUrl&quot;:&quot;https://ss1.dycharts.com/newchartLogo.png&quot;,&quot;show&quot;:false,&quot;topLineHeight&quot;:&quot;11&quot;},&quot;map&quot;:[[{&quot;allowType&quot;:[&quot;string&quot;],&quot;configurable&quot;:false,&quot;function&quot;:&quot;objCol&quot;,&quot;index&quot;:0,&quot;isLegend&quot;:true,&quot;name&quot;:&quot;名称&quot;},{&quot;allowType&quot;:[&quot;number&quot;],&quot;configurable&quot;:false,&quot;function&quot;:&quot;vCol&quot;,&quot;index&quot;:1,&quot;isLegend&quot;:false,&quot;name&quot;:&quot;值&quot;}]],&quot;paddings&quot;:{&quot;bottom&quot;:&quot;23&quot;,&quot;chartBottom&quot;:&quot;5&quot;,&quot;left&quot;:&quot;24&quot;,&quot;right&quot;:&quot;24&quot;,&quot;top&quot;:&quot;20&quot;},&quot;publishDisplay&quot;:{&quot;color&quot;:&quot;#878787&quot;,&quot;fontFamily&quot;:&quot;阿里巴巴普惠体 常规&quot;,&quot;fontSize&quot;:&quot;14&quot;,&quot;show&quot;:false,&quot;text&quot;:&quot;镝数出品&quot;},&quot;shadow&quot;:{&quot;display&quot;:false,&quot;shadowAngle&quot;:&quot;45&quot;,&quot;shadowBlur&quot;:&quot;5&quot;,&quot;shadowColor&quot;:&quot;#c6c6c6&quot;,&quot;shadowOpacity&quot;:&quot;100&quot;,&quot;shadowRadius&quot;:&quot;3&quot;},&quot;size&quot;:{&quot;height&quot;:250,&quot;ratio&quot;:&quot;&quot;,&quot;rotate&quot;:0,&quot;width&quot;:476},&quot;sourceDisplay&quot;:{&quot;color&quot;:&quot;#878787&quot;,&quot;fontFamily&quot;:&quot;阿里巴巴普惠体 常规&quot;,&quot;fontSize&quot;:&quot;14&quot;,&quot;show&quot;:false,&quot;text&quot;:&quot;数据来源：示例数据&quot;,&quot;topLineHeight&quot;:&quot;15&quot;,&quot;xPosition&quot;:&quot;left&quot;,&quot;yPosition&quot;:&quot;bottom&quot;},&quot;titleDisplay&quot;:{&quot;color&quot;:&quot;#4c4c4c&quot;,&quot;fontFamily&quot;:&quot;微软雅黑&quot;,&quot;fontSize&quot;:&quot;17&quot;,&quot;lineHeight&quot;:&quot;10&quot;,&quot;show&quot;:true,&quot;text&quot;:&quot;政府信息公开申请数量&quot;,&quot;totalHeight&quot;:&quot;39&quot;,&quot;xPosition&quot;:&quot;center&quot;,&quot;yPosition&quot;:&quot;top&quot;},&quot;tooltip&quot;:true,&quot;unitDisplay&quot;:{&quot;bottomLineHeight&quot;:&quot;15&quot;,&quot;color&quot;:&quot;#878787&quot;,&quot;fontFamily&quot;:&quot;黑体&quot;,&quot;fontSize&quot;:&quot;14&quot;,&quot;show&quot;:false,&quot;text&quot;:&quot;单位：万元&quot;,&quot;xPosition&quot;:&quot;left&quot;,&quot;yPosition&quot;:&quot;top&quot;},&quot;watermarkDisplay&quot;:{&quot;imgHeight&quot;:&quot;80&quot;,&quot;imgUrl&quot;:&quot;https://ss1.dycharts.com/newchartWatermark.png&quot;,&quot;imgWidth&quot;:&quot;80&quot;,&quot;show&quot;:false}},&quot;templateId&quot;:&quot;444734748594536323-2&quot;,&quot;templateSwitch&quot;:&quot;key-value&quot;,&quot;theme&quot;:{&quot;_id&quot;:18,&quot;axis&quot;:{&quot;color&quot;:&quot;#a1a1a1 &quot;},&quot;backgroundColor&quot;:&quot;#FFFFFF&quot;,&quot;colors&quot;:[&quot;#5AAEF3&quot;,&quot;#62D9AD&quot;,&quot;#5B6E96&quot;,&quot;#a8dffa&quot;,&quot;#ffdc4c&quot;,&quot;#FF974C&quot;,&quot;#E65A56&quot;,&quot;#6D61E4&quot;,&quot;#4A6FE2&quot;,&quot;#6D9AE7&quot;,&quot;#23C2DB&quot;,&quot;#D4EC59&quot;,&quot;#FFE88E&quot;,&quot;#FEB64D&quot;,&quot;#FB6E6C&quot;],&quot;fonts&quot;:{&quot;accessoryColor&quot;:&quot;#878787&quot;,&quot;color&quot;:&quot;#545454&quot;,&quot;fontFamily&quot;:&quot;阿里巴巴普惠体 常规&quot;,&quot;fontSize&quot;:&quot;14&quot;},&quot;grid&quot;:{&quot;color&quot;:&quot;#cccccc&quot;},&quot;id&quot;:&quot;17&quot;,&quot;name&quot;:&quot;默认主题&quot;,&quot;price&quot;:&quot;0.0&quot;,&quot;shapeColor&quot;:1,&quot;themeId&quot;:&quot;18&quot;,&quot;thumb&quot;:&quot;https://ss1.dydata.io/v2/themes/17.png&quot;,&quot;titleFont&quot;:{&quot;color&quot;:&quot;#4c4c4c&quot;,&quot;fontFamily&quot;:&quot;阿里巴巴普惠体 常规&quot;,&quot;fontSize&quot;:&quot;18&quot;}},&quot;thumb&quot;:&quot;//web.docer.wpscdn.cn/docer/ds-page/images/444734748594536323-2.png&quot;,&quot;title&quot;:&quot;基础柱状图&quot;,&quot;type&quot;:&quot;chart&quot;},&quot;dschart_id&quot;:&quot;444734748594536323-2&quot;,&quot;id&quot;:&quot;40&quot;}"/>
    <wpswe:property key="isUseCommonErrorPage" value="false"/>
    <wpswe:property key="loadingImage" value="res:/icons/DsWebShapeDefaultPage.svg"/>
  </wpswe:properties>
  <wpswe:watchingCache>
    <wpswe:linkPath>C:/Users/Administrator/AppData/Local/Temp/wps.iNcTzG/Workbook2.xlsx</wpswe:linkPath>
  </wpswe:watchingCache>
  <wpswe:snapshot xmlns:r="http://schemas.openxmlformats.org/officeDocument/2006/relationships" r:embed="rId2"/>
  <wpswe:externalData xmlns:r="http://schemas.openxmlformats.org/officeDocument/2006/relationships" r:id="rId1"/>
  <wpswe:url>https://clientweb.docer.wps.cn/ds/1.0.0/webShapeView?id=40&amp;dschart_id=444734748594536323&amp;from=chartwins&amp;productEntry=insert&amp;sceneEntry=rec&amp;flag=1003</wpswe:url>
  <wpswe:constantSnapshot>false</wpswe:constantSnapshot>
</wpswe:webExtension>
</file>

<file path=docProps/app.xml><?xml version="1.0" encoding="utf-8"?>
<Properties xmlns="http://schemas.openxmlformats.org/officeDocument/2006/extended-properties" xmlns:vt="http://schemas.openxmlformats.org/officeDocument/2006/docPropsVTypes">
  <Template>Normal.dotm</Template>
  <Pages>9</Pages>
  <Words>3162</Words>
  <Characters>3288</Characters>
  <Lines>0</Lines>
  <Paragraphs>0</Paragraphs>
  <TotalTime>2</TotalTime>
  <ScaleCrop>false</ScaleCrop>
  <LinksUpToDate>false</LinksUpToDate>
  <CharactersWithSpaces>3288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2022-01-12T00:37:00Z</dcterms:created>
  <dc:creator>Administrator</dc:creator>
  <cp:lastModifiedBy>Rowi</cp:lastModifiedBy>
  <cp:lastPrinted>2022-01-20T08:34:00Z</cp:lastPrinted>
  <dcterms:modified xsi:type="dcterms:W3CDTF">2023-02-01T00:41:58Z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14BD892924B94CB48925005E233F5B23</vt:lpwstr>
  </property>
</Properties>
</file>