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  <w:lang w:val="en-US" w:eastAsia="zh-CN"/>
        </w:rPr>
        <w:t>聊城市人力资源和社会保障局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center"/>
        <w:textAlignment w:val="auto"/>
        <w:rPr>
          <w:rFonts w:ascii="宋体" w:hAnsi="宋体" w:eastAsia="宋体" w:cs="宋体"/>
          <w:color w:val="333333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201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政府信息公开工作年度报告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480" w:firstLineChars="200"/>
        <w:jc w:val="both"/>
        <w:textAlignment w:val="auto"/>
        <w:rPr>
          <w:rFonts w:ascii="宋体" w:hAnsi="宋体" w:eastAsia="宋体" w:cs="宋体"/>
          <w:color w:val="333333"/>
        </w:rPr>
      </w:pP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宋体" w:eastAsia="仿宋_GB2312" w:cs="宋体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宋体" w:eastAsia="仿宋_GB2312" w:cs="宋体"/>
          <w:color w:val="333333"/>
          <w:sz w:val="32"/>
          <w:szCs w:val="32"/>
          <w:shd w:val="clear" w:color="auto" w:fill="FFFFFF"/>
        </w:rPr>
        <w:t>根据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《中华人民共和国政府信息公开条例》</w:t>
      </w:r>
      <w:r>
        <w:rPr>
          <w:rFonts w:hint="default" w:ascii="仿宋_GB2312" w:hAnsi="宋体" w:eastAsia="仿宋_GB2312" w:cs="宋体"/>
          <w:color w:val="333333"/>
          <w:sz w:val="32"/>
          <w:szCs w:val="32"/>
          <w:shd w:val="clear" w:color="auto" w:fill="FFFFFF"/>
        </w:rPr>
        <w:t>、《山东省政府信息公开办法》规定和有关文件要求，我局编制了201</w:t>
      </w:r>
      <w:r>
        <w:rPr>
          <w:rFonts w:hint="eastAsia" w:ascii="仿宋_GB2312" w:hAnsi="宋体" w:eastAsia="仿宋_GB2312" w:cs="宋体"/>
          <w:color w:val="333333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default" w:ascii="仿宋_GB2312" w:hAnsi="宋体" w:eastAsia="仿宋_GB2312" w:cs="宋体"/>
          <w:color w:val="333333"/>
          <w:sz w:val="32"/>
          <w:szCs w:val="32"/>
          <w:shd w:val="clear" w:color="auto" w:fill="FFFFFF"/>
        </w:rPr>
        <w:t>年度政府信息公开工作报告。本报告所列统计数据的期限自201</w:t>
      </w:r>
      <w:r>
        <w:rPr>
          <w:rFonts w:hint="eastAsia" w:ascii="仿宋_GB2312" w:hAnsi="宋体" w:eastAsia="仿宋_GB2312" w:cs="宋体"/>
          <w:color w:val="333333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default" w:ascii="仿宋_GB2312" w:hAnsi="宋体" w:eastAsia="仿宋_GB2312" w:cs="宋体"/>
          <w:color w:val="333333"/>
          <w:sz w:val="32"/>
          <w:szCs w:val="32"/>
          <w:shd w:val="clear" w:color="auto" w:fill="FFFFFF"/>
        </w:rPr>
        <w:t>年1月1日起，至201</w:t>
      </w:r>
      <w:r>
        <w:rPr>
          <w:rFonts w:hint="eastAsia" w:ascii="仿宋_GB2312" w:hAnsi="宋体" w:eastAsia="仿宋_GB2312" w:cs="宋体"/>
          <w:color w:val="333333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default" w:ascii="仿宋_GB2312" w:hAnsi="宋体" w:eastAsia="仿宋_GB2312" w:cs="宋体"/>
          <w:color w:val="333333"/>
          <w:sz w:val="32"/>
          <w:szCs w:val="32"/>
          <w:shd w:val="clear" w:color="auto" w:fill="FFFFFF"/>
        </w:rPr>
        <w:t>年12月31日止</w:t>
      </w:r>
      <w:r>
        <w:rPr>
          <w:rFonts w:hint="eastAsia" w:ascii="仿宋_GB2312" w:hAnsi="宋体" w:eastAsia="仿宋_GB2312" w:cs="宋体"/>
          <w:color w:val="333333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一、总体情况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hAnsi="宋体" w:eastAsia="仿宋_GB2312" w:cs="宋体"/>
          <w:color w:val="333333"/>
          <w:sz w:val="32"/>
          <w:szCs w:val="32"/>
          <w:shd w:val="clear" w:color="auto" w:fill="FFFFFF"/>
        </w:rPr>
      </w:pPr>
      <w:r>
        <w:rPr>
          <w:rFonts w:hint="default" w:ascii="仿宋_GB2312" w:hAnsi="宋体" w:eastAsia="仿宋_GB2312" w:cs="宋体"/>
          <w:color w:val="333333"/>
          <w:sz w:val="32"/>
          <w:szCs w:val="32"/>
          <w:shd w:val="clear" w:color="auto" w:fill="FFFFFF"/>
        </w:rPr>
        <w:t>201</w:t>
      </w:r>
      <w:r>
        <w:rPr>
          <w:rFonts w:hint="eastAsia" w:ascii="仿宋_GB2312" w:hAnsi="宋体" w:eastAsia="仿宋_GB2312" w:cs="宋体"/>
          <w:color w:val="333333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default" w:ascii="仿宋_GB2312" w:hAnsi="宋体" w:eastAsia="仿宋_GB2312" w:cs="宋体"/>
          <w:color w:val="333333"/>
          <w:sz w:val="32"/>
          <w:szCs w:val="32"/>
          <w:shd w:val="clear" w:color="auto" w:fill="FFFFFF"/>
        </w:rPr>
        <w:t>年，我局按照国家、省、市有关政府信息公开工作的一系列部署要求，在市政府办公室的指导下，坚持“以公开为原则、以不公开为例外”原则，不断加强制度建设，配齐配强人员力量，积极推行党务政务公开，政府信息公开工作取得了明显成效，有力促进了依法行政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20"/>
        <w:jc w:val="both"/>
        <w:textAlignment w:val="auto"/>
        <w:rPr>
          <w:rFonts w:hint="default" w:ascii="仿宋_GB2312" w:hAnsi="宋体" w:eastAsia="仿宋_GB2312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加强组织领导，健全政府信息公开机制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宋体" w:eastAsia="仿宋_GB2312" w:cs="宋体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一是</w:t>
      </w:r>
      <w:r>
        <w:rPr>
          <w:rFonts w:hint="default" w:ascii="仿宋_GB2312" w:hAnsi="宋体" w:eastAsia="仿宋_GB2312" w:cs="宋体"/>
          <w:b/>
          <w:bCs/>
          <w:color w:val="333333"/>
          <w:sz w:val="32"/>
          <w:szCs w:val="32"/>
          <w:shd w:val="clear" w:color="auto" w:fill="FFFFFF"/>
        </w:rPr>
        <w:t>定期研究部署。</w:t>
      </w:r>
      <w:r>
        <w:rPr>
          <w:rFonts w:hint="default" w:ascii="仿宋_GB2312" w:hAnsi="宋体" w:eastAsia="仿宋_GB2312" w:cs="宋体"/>
          <w:color w:val="333333"/>
          <w:sz w:val="32"/>
          <w:szCs w:val="32"/>
          <w:shd w:val="clear" w:color="auto" w:fill="FFFFFF"/>
        </w:rPr>
        <w:t>我局把政府信息公开工作摆在突出位置，定期召开</w:t>
      </w:r>
      <w:r>
        <w:rPr>
          <w:rFonts w:hint="eastAsia" w:ascii="仿宋_GB2312" w:hAnsi="宋体" w:eastAsia="仿宋_GB2312" w:cs="宋体"/>
          <w:color w:val="333333"/>
          <w:sz w:val="32"/>
          <w:szCs w:val="32"/>
          <w:shd w:val="clear" w:color="auto" w:fill="FFFFFF"/>
          <w:lang w:val="en-US" w:eastAsia="zh-CN"/>
        </w:rPr>
        <w:t>政务公开</w:t>
      </w:r>
      <w:r>
        <w:rPr>
          <w:rFonts w:hint="default" w:ascii="仿宋_GB2312" w:hAnsi="宋体" w:eastAsia="仿宋_GB2312" w:cs="宋体"/>
          <w:color w:val="333333"/>
          <w:sz w:val="32"/>
          <w:szCs w:val="32"/>
          <w:shd w:val="clear" w:color="auto" w:fill="FFFFFF"/>
        </w:rPr>
        <w:t>专题</w:t>
      </w:r>
      <w:r>
        <w:rPr>
          <w:rFonts w:hint="eastAsia" w:ascii="仿宋_GB2312" w:hAnsi="宋体" w:eastAsia="仿宋_GB2312" w:cs="宋体"/>
          <w:color w:val="333333"/>
          <w:sz w:val="32"/>
          <w:szCs w:val="32"/>
          <w:shd w:val="clear" w:color="auto" w:fill="FFFFFF"/>
          <w:lang w:val="en-US" w:eastAsia="zh-CN"/>
        </w:rPr>
        <w:t>会议</w:t>
      </w:r>
      <w:r>
        <w:rPr>
          <w:rFonts w:hint="default" w:ascii="仿宋_GB2312" w:hAnsi="宋体" w:eastAsia="仿宋_GB2312" w:cs="宋体"/>
          <w:color w:val="333333"/>
          <w:sz w:val="32"/>
          <w:szCs w:val="32"/>
          <w:shd w:val="clear" w:color="auto" w:fill="FFFFFF"/>
        </w:rPr>
        <w:t>，听取工作情况，分析存在问题，部署工作任务，确保工作有序推进。</w:t>
      </w:r>
      <w:r>
        <w:rPr>
          <w:rFonts w:hint="eastAsia" w:ascii="仿宋_GB2312" w:hAnsi="宋体" w:eastAsia="仿宋_GB2312" w:cs="宋体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二是坚持依法公开</w:t>
      </w:r>
      <w:r>
        <w:rPr>
          <w:rFonts w:hint="default" w:ascii="仿宋_GB2312" w:hAnsi="宋体" w:eastAsia="仿宋_GB2312" w:cs="宋体"/>
          <w:b/>
          <w:bCs/>
          <w:color w:val="333333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宋体" w:eastAsia="仿宋_GB2312" w:cs="宋体"/>
          <w:color w:val="333333"/>
          <w:sz w:val="32"/>
          <w:szCs w:val="32"/>
          <w:shd w:val="clear" w:color="auto" w:fill="FFFFFF"/>
          <w:lang w:val="en-US" w:eastAsia="zh-CN"/>
        </w:rPr>
        <w:t>我局</w:t>
      </w:r>
      <w:r>
        <w:rPr>
          <w:rFonts w:hint="default" w:ascii="仿宋_GB2312" w:hAnsi="宋体" w:eastAsia="仿宋_GB2312" w:cs="宋体"/>
          <w:color w:val="333333"/>
          <w:sz w:val="32"/>
          <w:szCs w:val="32"/>
          <w:shd w:val="clear" w:color="auto" w:fill="FFFFFF"/>
        </w:rPr>
        <w:t>规范制发了《聊城市人力资源和社会保障局政府信息</w:t>
      </w:r>
      <w:r>
        <w:rPr>
          <w:rFonts w:hint="eastAsia" w:ascii="仿宋_GB2312" w:hAnsi="宋体" w:eastAsia="仿宋_GB2312" w:cs="宋体"/>
          <w:color w:val="333333"/>
          <w:sz w:val="32"/>
          <w:szCs w:val="32"/>
          <w:shd w:val="clear" w:color="auto" w:fill="FFFFFF"/>
          <w:lang w:val="en-US" w:eastAsia="zh-CN"/>
        </w:rPr>
        <w:t>公开</w:t>
      </w:r>
      <w:r>
        <w:rPr>
          <w:rFonts w:hint="default" w:ascii="仿宋_GB2312" w:hAnsi="宋体" w:eastAsia="仿宋_GB2312" w:cs="宋体"/>
          <w:color w:val="333333"/>
          <w:sz w:val="32"/>
          <w:szCs w:val="32"/>
          <w:shd w:val="clear" w:color="auto" w:fill="FFFFFF"/>
        </w:rPr>
        <w:t>指南》，明确了信息分类、公开方式、机构设置、投诉渠道</w:t>
      </w:r>
      <w:r>
        <w:rPr>
          <w:rFonts w:hint="eastAsia" w:ascii="仿宋_GB2312" w:hAnsi="宋体" w:eastAsia="仿宋_GB2312" w:cs="宋体"/>
          <w:color w:val="333333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宋体" w:eastAsia="仿宋_GB2312" w:cs="宋体"/>
          <w:color w:val="333333"/>
          <w:sz w:val="32"/>
          <w:szCs w:val="32"/>
          <w:shd w:val="clear" w:color="auto" w:fill="FFFFFF"/>
          <w:lang w:val="en-US" w:eastAsia="zh-CN"/>
        </w:rPr>
        <w:t>同时，进一步</w:t>
      </w:r>
      <w:r>
        <w:rPr>
          <w:rFonts w:hint="default" w:ascii="仿宋_GB2312" w:hAnsi="宋体" w:eastAsia="仿宋_GB2312" w:cs="宋体"/>
          <w:color w:val="333333"/>
          <w:sz w:val="32"/>
          <w:szCs w:val="32"/>
          <w:shd w:val="clear" w:color="auto" w:fill="FFFFFF"/>
        </w:rPr>
        <w:t>修订完善了政府信息公开系列制度，对信息公开的范围、形式、监督和保障等方面作出了详细规定。</w:t>
      </w:r>
      <w:r>
        <w:rPr>
          <w:rFonts w:hint="eastAsia" w:ascii="仿宋_GB2312" w:hAnsi="宋体" w:eastAsia="仿宋_GB2312" w:cs="宋体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三是</w:t>
      </w:r>
      <w:r>
        <w:rPr>
          <w:rFonts w:hint="default" w:ascii="仿宋_GB2312" w:hAnsi="宋体" w:eastAsia="仿宋_GB2312" w:cs="宋体"/>
          <w:b/>
          <w:bCs/>
          <w:color w:val="333333"/>
          <w:sz w:val="32"/>
          <w:szCs w:val="32"/>
          <w:shd w:val="clear" w:color="auto" w:fill="FFFFFF"/>
        </w:rPr>
        <w:t>强化调度督导。</w:t>
      </w:r>
      <w:r>
        <w:rPr>
          <w:rFonts w:hint="default" w:ascii="仿宋_GB2312" w:hAnsi="宋体" w:eastAsia="仿宋_GB2312" w:cs="宋体"/>
          <w:color w:val="333333"/>
          <w:sz w:val="32"/>
          <w:szCs w:val="32"/>
          <w:shd w:val="clear" w:color="auto" w:fill="FFFFFF"/>
        </w:rPr>
        <w:t>我局始终把政府信息公开工作摆在重要位置，每年年初印发《市人社局政府信息公开工作要点》，定期调度督导，强化考核检查，及时发布年度政府信息公开报告，推动</w:t>
      </w:r>
      <w:r>
        <w:rPr>
          <w:rFonts w:hint="eastAsia" w:ascii="仿宋_GB2312" w:hAnsi="宋体" w:eastAsia="仿宋_GB2312" w:cs="宋体"/>
          <w:color w:val="333333"/>
          <w:sz w:val="32"/>
          <w:szCs w:val="32"/>
          <w:shd w:val="clear" w:color="auto" w:fill="FFFFFF"/>
          <w:lang w:val="en-US" w:eastAsia="zh-CN"/>
        </w:rPr>
        <w:t>政务公开</w:t>
      </w:r>
      <w:r>
        <w:rPr>
          <w:rFonts w:hint="default" w:ascii="仿宋_GB2312" w:hAnsi="宋体" w:eastAsia="仿宋_GB2312" w:cs="宋体"/>
          <w:color w:val="333333"/>
          <w:sz w:val="32"/>
          <w:szCs w:val="32"/>
          <w:shd w:val="clear" w:color="auto" w:fill="FFFFFF"/>
        </w:rPr>
        <w:t>工作全方位融入到人社工作的各个环节，形成了良好的领导体制和工作机制。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20"/>
        <w:jc w:val="both"/>
        <w:textAlignment w:val="auto"/>
        <w:rPr>
          <w:rFonts w:hint="default" w:ascii="仿宋_GB2312" w:hAnsi="宋体" w:eastAsia="仿宋_GB2312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  <w:lang w:val="en-US" w:eastAsia="zh-CN"/>
        </w:rPr>
        <w:t>加强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平台建设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  <w:lang w:val="en-US" w:eastAsia="zh-CN"/>
        </w:rPr>
        <w:t>提高政务信息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公开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  <w:lang w:val="en-US" w:eastAsia="zh-CN"/>
        </w:rPr>
        <w:t>水平。</w:t>
      </w:r>
      <w:r>
        <w:rPr>
          <w:rFonts w:hint="eastAsia" w:ascii="仿宋_GB2312" w:hAnsi="宋体" w:eastAsia="仿宋_GB2312" w:cs="宋体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一是</w:t>
      </w:r>
      <w:r>
        <w:rPr>
          <w:rFonts w:hint="default" w:ascii="仿宋_GB2312" w:hAnsi="宋体" w:eastAsia="仿宋_GB2312" w:cs="宋体"/>
          <w:b/>
          <w:bCs/>
          <w:color w:val="333333"/>
          <w:sz w:val="32"/>
          <w:szCs w:val="32"/>
          <w:shd w:val="clear" w:color="auto" w:fill="FFFFFF"/>
        </w:rPr>
        <w:t>发挥门户网站作用。</w:t>
      </w:r>
      <w:r>
        <w:rPr>
          <w:rFonts w:hint="default" w:ascii="仿宋_GB2312" w:hAnsi="宋体" w:eastAsia="仿宋_GB2312" w:cs="宋体"/>
          <w:color w:val="333333"/>
          <w:sz w:val="32"/>
          <w:szCs w:val="32"/>
          <w:shd w:val="clear" w:color="auto" w:fill="FFFFFF"/>
        </w:rPr>
        <w:t>依托聊城市人力资源社会保障信息网，把全局重点业务的办事流程、法律依据、工作要求、办结时限等进行网上公开，主动公开了市人社局权力清单、责任清单和财务预决算情况，切实为群众提供高效便捷服务。依托聊城市人事考试信息网、聊城市人才网等局属网站，积极主动公布企业职工退休审批、各类人事考试等相关信息。</w:t>
      </w:r>
      <w:r>
        <w:rPr>
          <w:rFonts w:hint="eastAsia" w:ascii="仿宋_GB2312" w:hAnsi="宋体" w:eastAsia="仿宋_GB2312" w:cs="宋体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二是</w:t>
      </w:r>
      <w:r>
        <w:rPr>
          <w:rFonts w:hint="default" w:ascii="仿宋_GB2312" w:hAnsi="宋体" w:eastAsia="仿宋_GB2312" w:cs="宋体"/>
          <w:b/>
          <w:bCs/>
          <w:color w:val="333333"/>
          <w:sz w:val="32"/>
          <w:szCs w:val="32"/>
          <w:shd w:val="clear" w:color="auto" w:fill="FFFFFF"/>
        </w:rPr>
        <w:t>落实新闻发布制度。</w:t>
      </w:r>
      <w:r>
        <w:rPr>
          <w:rFonts w:hint="default" w:ascii="仿宋_GB2312" w:hAnsi="宋体" w:eastAsia="仿宋_GB2312" w:cs="宋体"/>
          <w:color w:val="333333"/>
          <w:sz w:val="32"/>
          <w:szCs w:val="32"/>
          <w:shd w:val="clear" w:color="auto" w:fill="FFFFFF"/>
        </w:rPr>
        <w:t>我局实行了新闻发布会和发言人制度，明确了一名党组成员为新闻发言人，有效增强了政府信息公开和舆论引导工作水平，促进了政府信息公开工作规范化、制度化。</w:t>
      </w:r>
      <w:r>
        <w:rPr>
          <w:rFonts w:hint="eastAsia" w:ascii="仿宋_GB2312" w:hAnsi="宋体" w:eastAsia="仿宋_GB2312" w:cs="宋体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三是</w:t>
      </w:r>
      <w:r>
        <w:rPr>
          <w:rFonts w:hint="default" w:ascii="仿宋_GB2312" w:hAnsi="宋体" w:eastAsia="仿宋_GB2312" w:cs="宋体"/>
          <w:b/>
          <w:bCs/>
          <w:color w:val="333333"/>
          <w:sz w:val="32"/>
          <w:szCs w:val="32"/>
          <w:shd w:val="clear" w:color="auto" w:fill="FFFFFF"/>
        </w:rPr>
        <w:t>丰富政务公开形式。</w:t>
      </w:r>
      <w:r>
        <w:rPr>
          <w:rFonts w:hint="eastAsia" w:ascii="仿宋_GB2312" w:hAnsi="宋体" w:eastAsia="仿宋_GB2312" w:cs="宋体"/>
          <w:color w:val="333333"/>
          <w:sz w:val="32"/>
          <w:szCs w:val="32"/>
          <w:shd w:val="clear" w:color="auto" w:fill="FFFFFF"/>
          <w:lang w:val="en-US" w:eastAsia="zh-CN"/>
        </w:rPr>
        <w:t>利用好局</w:t>
      </w:r>
      <w:r>
        <w:rPr>
          <w:rFonts w:hint="default" w:ascii="仿宋_GB2312" w:hAnsi="宋体" w:eastAsia="仿宋_GB2312" w:cs="宋体"/>
          <w:color w:val="333333"/>
          <w:sz w:val="32"/>
          <w:szCs w:val="32"/>
          <w:shd w:val="clear" w:color="auto" w:fill="FFFFFF"/>
          <w:lang w:val="en-US" w:eastAsia="zh-CN"/>
        </w:rPr>
        <w:t>门户网站</w:t>
      </w:r>
      <w:r>
        <w:rPr>
          <w:rFonts w:hint="eastAsia" w:ascii="仿宋_GB2312" w:hAnsi="宋体" w:eastAsia="仿宋_GB2312" w:cs="宋体"/>
          <w:color w:val="333333"/>
          <w:sz w:val="32"/>
          <w:szCs w:val="32"/>
          <w:shd w:val="clear" w:color="auto" w:fill="FFFFFF"/>
          <w:lang w:val="en-US" w:eastAsia="zh-CN"/>
        </w:rPr>
        <w:t>、聊城人社微信公众号平台、聊城人社今日头条平台</w:t>
      </w:r>
      <w:r>
        <w:rPr>
          <w:rFonts w:hint="default" w:ascii="仿宋_GB2312" w:hAnsi="宋体" w:eastAsia="仿宋_GB2312" w:cs="宋体"/>
          <w:color w:val="333333"/>
          <w:sz w:val="32"/>
          <w:szCs w:val="32"/>
          <w:shd w:val="clear" w:color="auto" w:fill="FFFFFF"/>
        </w:rPr>
        <w:t>等，加大信息宣传力度</w:t>
      </w:r>
      <w:r>
        <w:rPr>
          <w:rFonts w:hint="eastAsia" w:ascii="仿宋_GB2312" w:hAnsi="宋体" w:eastAsia="仿宋_GB2312" w:cs="宋体"/>
          <w:color w:val="333333"/>
          <w:sz w:val="32"/>
          <w:szCs w:val="32"/>
          <w:shd w:val="clear" w:color="auto" w:fill="FFFFFF"/>
          <w:lang w:eastAsia="zh-CN"/>
        </w:rPr>
        <w:t>。</w:t>
      </w:r>
      <w:r>
        <w:rPr>
          <w:rFonts w:hint="default" w:ascii="仿宋_GB2312" w:hAnsi="宋体" w:eastAsia="仿宋_GB2312" w:cs="宋体"/>
          <w:color w:val="333333"/>
          <w:sz w:val="32"/>
          <w:szCs w:val="32"/>
          <w:shd w:val="clear" w:color="auto" w:fill="FFFFFF"/>
        </w:rPr>
        <w:t>同时，依托各类专项服务活动、普法宣传活动等，向城乡劳动者发放政策宣传资料，发送用工招聘短信，开展政策咨询，收到了社会各界普遍好评。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textAlignment w:val="auto"/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  <w:lang w:val="en-US" w:eastAsia="zh-CN"/>
        </w:rPr>
        <w:t>（三）加强信息管理，明确政务信息公开原则。</w:t>
      </w:r>
      <w:r>
        <w:rPr>
          <w:rFonts w:hint="eastAsia" w:ascii="仿宋_GB2312" w:hAnsi="Calibri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一是</w:t>
      </w:r>
      <w:r>
        <w:rPr>
          <w:rFonts w:hint="eastAsia" w:ascii="仿宋_GB2312" w:hAnsi="Calibri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坚持依法公开。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以法律法规和相关政策为依据，推进人社领域政务公开工作，依法依规明确政务公开的主体、内容、标准、方式、程序，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进一步做好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权力清单、责任清单、负面清单公开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工作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_GB2312" w:hAnsi="Calibri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二是</w:t>
      </w:r>
      <w:r>
        <w:rPr>
          <w:rFonts w:hint="eastAsia" w:ascii="仿宋_GB2312" w:hAnsi="Calibri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坚持便民快捷。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认真践行全心全意为人民服务的宗旨，把政务和信息公开作为维护公众权益、方便公众生产生活的重要途径，有效避免信息封闭带来的负面影响，切实做到及时、准确、全面公开政务和政府信息。</w:t>
      </w:r>
      <w:r>
        <w:rPr>
          <w:rFonts w:hint="eastAsia" w:ascii="仿宋_GB2312" w:hAnsi="Calibri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三是</w:t>
      </w:r>
      <w:r>
        <w:rPr>
          <w:rFonts w:hint="eastAsia" w:ascii="仿宋_GB2312" w:hAnsi="Calibri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坚持上下联动。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推动全市人社领域工作上下联动、协同用力、层层推进信息公开，做到横向全覆盖，纵向全连接，形成信息公开的整体效应。</w:t>
      </w:r>
      <w:r>
        <w:rPr>
          <w:rFonts w:hint="eastAsia" w:ascii="仿宋_GB2312" w:hAnsi="Calibri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四是</w:t>
      </w:r>
      <w:r>
        <w:rPr>
          <w:rFonts w:hint="eastAsia" w:ascii="仿宋_GB2312" w:hAnsi="Calibri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坚持改革创新。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注重公开工作的精细化、可操作性，务求公开实效，让群众看得见、听得懂、能监督。以社会需求为导向，以网络等为载体，扩大公众参与，促进政务公开工作有效施政。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0" w:firstLineChars="200"/>
        <w:jc w:val="both"/>
        <w:textAlignment w:val="auto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4"/>
        <w:tblW w:w="8708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73"/>
        <w:gridCol w:w="17"/>
        <w:gridCol w:w="2095"/>
        <w:gridCol w:w="1505"/>
        <w:gridCol w:w="201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870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本年新制作数量</w:t>
            </w:r>
          </w:p>
        </w:tc>
        <w:tc>
          <w:tcPr>
            <w:tcW w:w="15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公开数量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对外公开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总数量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规章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/>
              </w:rPr>
              <w:t>0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规范性文件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/>
              </w:rPr>
              <w:t>2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/>
              </w:rPr>
              <w:t>2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/>
              </w:rPr>
              <w:t>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70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上一年项目数量</w:t>
            </w:r>
          </w:p>
        </w:tc>
        <w:tc>
          <w:tcPr>
            <w:tcW w:w="15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本年增/减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行政许可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/>
              </w:rPr>
              <w:t>0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其他对外管理服务事项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/>
              </w:rPr>
              <w:t>0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70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上一年项目数量</w:t>
            </w:r>
          </w:p>
        </w:tc>
        <w:tc>
          <w:tcPr>
            <w:tcW w:w="15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本年增/减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处理决定数量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行政处罚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行政强制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70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第二十条第（八）项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上一年项目数量</w:t>
            </w:r>
          </w:p>
        </w:tc>
        <w:tc>
          <w:tcPr>
            <w:tcW w:w="352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行政事业性收费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3523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70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采购项目数量</w:t>
            </w:r>
          </w:p>
        </w:tc>
        <w:tc>
          <w:tcPr>
            <w:tcW w:w="352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政府集中采购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3523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约405.4万元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4"/>
        <w:tblW w:w="8764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1146"/>
        <w:gridCol w:w="2981"/>
        <w:gridCol w:w="595"/>
        <w:gridCol w:w="595"/>
        <w:gridCol w:w="595"/>
        <w:gridCol w:w="595"/>
        <w:gridCol w:w="595"/>
        <w:gridCol w:w="595"/>
        <w:gridCol w:w="5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13" w:hRule="atLeast"/>
          <w:jc w:val="center"/>
        </w:trPr>
        <w:tc>
          <w:tcPr>
            <w:tcW w:w="459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（本列数据的勾稽关系为：第一项加第二项之和，等于第三项加第四项之和）</w:t>
            </w:r>
          </w:p>
        </w:tc>
        <w:tc>
          <w:tcPr>
            <w:tcW w:w="416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25" w:hRule="atLeast"/>
          <w:jc w:val="center"/>
        </w:trPr>
        <w:tc>
          <w:tcPr>
            <w:tcW w:w="45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自然人</w:t>
            </w:r>
          </w:p>
        </w:tc>
        <w:tc>
          <w:tcPr>
            <w:tcW w:w="297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法人或其他组织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127" w:hRule="atLeast"/>
          <w:jc w:val="center"/>
        </w:trPr>
        <w:tc>
          <w:tcPr>
            <w:tcW w:w="45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商业企业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科研机构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社会公益组织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法律服务机构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459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一、本年新收政府信息公开申请数量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  <w:t>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459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二、上年结转政府信息公开申请数量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97" w:hRule="atLeast"/>
          <w:jc w:val="center"/>
        </w:trPr>
        <w:tc>
          <w:tcPr>
            <w:tcW w:w="47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三、本年度办理结果</w:t>
            </w:r>
          </w:p>
        </w:tc>
        <w:tc>
          <w:tcPr>
            <w:tcW w:w="41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  <w:t>7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97" w:hRule="atLeast"/>
          <w:jc w:val="center"/>
        </w:trPr>
        <w:tc>
          <w:tcPr>
            <w:tcW w:w="4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25" w:hRule="exact"/>
          <w:jc w:val="center"/>
        </w:trPr>
        <w:tc>
          <w:tcPr>
            <w:tcW w:w="4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25" w:hRule="exact"/>
          <w:jc w:val="center"/>
        </w:trPr>
        <w:tc>
          <w:tcPr>
            <w:tcW w:w="4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25" w:hRule="exact"/>
          <w:jc w:val="center"/>
        </w:trPr>
        <w:tc>
          <w:tcPr>
            <w:tcW w:w="4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25" w:hRule="exact"/>
          <w:jc w:val="center"/>
        </w:trPr>
        <w:tc>
          <w:tcPr>
            <w:tcW w:w="4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25" w:hRule="exact"/>
          <w:jc w:val="center"/>
        </w:trPr>
        <w:tc>
          <w:tcPr>
            <w:tcW w:w="4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25" w:hRule="exact"/>
          <w:jc w:val="center"/>
        </w:trPr>
        <w:tc>
          <w:tcPr>
            <w:tcW w:w="4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25" w:hRule="exact"/>
          <w:jc w:val="center"/>
        </w:trPr>
        <w:tc>
          <w:tcPr>
            <w:tcW w:w="4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25" w:hRule="exact"/>
          <w:jc w:val="center"/>
        </w:trPr>
        <w:tc>
          <w:tcPr>
            <w:tcW w:w="4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25" w:hRule="exact"/>
          <w:jc w:val="center"/>
        </w:trPr>
        <w:tc>
          <w:tcPr>
            <w:tcW w:w="4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25" w:hRule="exact"/>
          <w:jc w:val="center"/>
        </w:trPr>
        <w:tc>
          <w:tcPr>
            <w:tcW w:w="4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25" w:hRule="exact"/>
          <w:jc w:val="center"/>
        </w:trPr>
        <w:tc>
          <w:tcPr>
            <w:tcW w:w="4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25" w:hRule="exact"/>
          <w:jc w:val="center"/>
        </w:trPr>
        <w:tc>
          <w:tcPr>
            <w:tcW w:w="4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25" w:hRule="exact"/>
          <w:jc w:val="center"/>
        </w:trPr>
        <w:tc>
          <w:tcPr>
            <w:tcW w:w="4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25" w:hRule="exact"/>
          <w:jc w:val="center"/>
        </w:trPr>
        <w:tc>
          <w:tcPr>
            <w:tcW w:w="4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25" w:hRule="exact"/>
          <w:jc w:val="center"/>
        </w:trPr>
        <w:tc>
          <w:tcPr>
            <w:tcW w:w="4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25" w:hRule="atLeast"/>
          <w:jc w:val="center"/>
        </w:trPr>
        <w:tc>
          <w:tcPr>
            <w:tcW w:w="4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5.要求行政机关确认或重新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出具已获取信息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10" w:hRule="exact"/>
          <w:jc w:val="center"/>
        </w:trPr>
        <w:tc>
          <w:tcPr>
            <w:tcW w:w="4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10" w:hRule="exact"/>
          <w:jc w:val="center"/>
        </w:trPr>
        <w:tc>
          <w:tcPr>
            <w:tcW w:w="4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  <w:t>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52" w:hRule="atLeast"/>
          <w:jc w:val="center"/>
        </w:trPr>
        <w:tc>
          <w:tcPr>
            <w:tcW w:w="459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四、结转下年度继续办理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黑体" w:hAnsi="黑体" w:eastAsia="黑体" w:cs="宋体"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4"/>
        <w:tblW w:w="8807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5"/>
        <w:gridCol w:w="595"/>
        <w:gridCol w:w="595"/>
        <w:gridCol w:w="584"/>
        <w:gridCol w:w="582"/>
        <w:gridCol w:w="608"/>
        <w:gridCol w:w="584"/>
        <w:gridCol w:w="584"/>
        <w:gridCol w:w="584"/>
        <w:gridCol w:w="584"/>
        <w:gridCol w:w="50"/>
        <w:gridCol w:w="534"/>
        <w:gridCol w:w="584"/>
        <w:gridCol w:w="584"/>
        <w:gridCol w:w="584"/>
        <w:gridCol w:w="57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97" w:hRule="atLeast"/>
          <w:jc w:val="center"/>
        </w:trPr>
        <w:tc>
          <w:tcPr>
            <w:tcW w:w="295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行政复议</w:t>
            </w:r>
          </w:p>
        </w:tc>
        <w:tc>
          <w:tcPr>
            <w:tcW w:w="5856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47" w:hRule="atLeast"/>
          <w:jc w:val="center"/>
        </w:trPr>
        <w:tc>
          <w:tcPr>
            <w:tcW w:w="59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维持</w:t>
            </w:r>
          </w:p>
        </w:tc>
        <w:tc>
          <w:tcPr>
            <w:tcW w:w="59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结果纠正</w:t>
            </w:r>
          </w:p>
        </w:tc>
        <w:tc>
          <w:tcPr>
            <w:tcW w:w="5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其他结果</w:t>
            </w:r>
          </w:p>
        </w:tc>
        <w:tc>
          <w:tcPr>
            <w:tcW w:w="58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审结</w:t>
            </w:r>
          </w:p>
        </w:tc>
        <w:tc>
          <w:tcPr>
            <w:tcW w:w="58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计</w:t>
            </w:r>
          </w:p>
        </w:tc>
        <w:tc>
          <w:tcPr>
            <w:tcW w:w="2994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未经复议直接起诉</w:t>
            </w:r>
          </w:p>
        </w:tc>
        <w:tc>
          <w:tcPr>
            <w:tcW w:w="286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6" w:hRule="atLeast"/>
          <w:jc w:val="center"/>
        </w:trPr>
        <w:tc>
          <w:tcPr>
            <w:tcW w:w="59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结果维持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结果纠正</w:t>
            </w:r>
          </w:p>
        </w:tc>
        <w:tc>
          <w:tcPr>
            <w:tcW w:w="5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5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审结</w:t>
            </w:r>
          </w:p>
        </w:tc>
        <w:tc>
          <w:tcPr>
            <w:tcW w:w="5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5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结果维持</w:t>
            </w:r>
          </w:p>
        </w:tc>
        <w:tc>
          <w:tcPr>
            <w:tcW w:w="5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纠正</w:t>
            </w:r>
          </w:p>
        </w:tc>
        <w:tc>
          <w:tcPr>
            <w:tcW w:w="5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5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尚未审结</w:t>
            </w:r>
          </w:p>
        </w:tc>
        <w:tc>
          <w:tcPr>
            <w:tcW w:w="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46" w:hRule="atLeast"/>
          <w:jc w:val="center"/>
        </w:trPr>
        <w:tc>
          <w:tcPr>
            <w:tcW w:w="5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五</w:t>
      </w:r>
      <w:r>
        <w:rPr>
          <w:rFonts w:hint="eastAsia" w:ascii="黑体" w:hAnsi="黑体" w:eastAsia="黑体" w:cs="宋体"/>
          <w:color w:val="333333"/>
          <w:sz w:val="32"/>
          <w:szCs w:val="32"/>
          <w:shd w:val="clear" w:color="auto" w:fill="FFFFFF"/>
        </w:rPr>
        <w:t>、存在的主要问题及改进情况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hAnsi="宋体" w:eastAsia="仿宋_GB2312" w:cs="宋体"/>
          <w:color w:val="333333"/>
          <w:sz w:val="32"/>
          <w:szCs w:val="32"/>
          <w:shd w:val="clear" w:color="auto" w:fill="FFFFFF"/>
        </w:rPr>
      </w:pPr>
      <w:r>
        <w:rPr>
          <w:rFonts w:hint="default" w:ascii="楷体_GB2312" w:hAnsi="Calibri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（一）主要问题。</w:t>
      </w:r>
      <w:r>
        <w:rPr>
          <w:rFonts w:hint="default" w:ascii="仿宋_GB2312" w:hAnsi="宋体" w:eastAsia="仿宋_GB2312" w:cs="宋体"/>
          <w:color w:val="333333"/>
          <w:sz w:val="32"/>
          <w:szCs w:val="32"/>
          <w:shd w:val="clear" w:color="auto" w:fill="FFFFFF"/>
          <w:lang w:val="en-US" w:eastAsia="zh-CN"/>
        </w:rPr>
        <w:t>政</w:t>
      </w:r>
      <w:r>
        <w:rPr>
          <w:rFonts w:hint="default" w:ascii="仿宋_GB2312" w:hAnsi="宋体" w:eastAsia="仿宋_GB2312" w:cs="宋体"/>
          <w:color w:val="333333"/>
          <w:sz w:val="32"/>
          <w:szCs w:val="32"/>
          <w:shd w:val="clear" w:color="auto" w:fill="FFFFFF"/>
        </w:rPr>
        <w:t>府信息公开工作力度有待进一步加强，全面公开政务信息的主动性不够，公开信息的数量还不够多、</w:t>
      </w:r>
      <w:r>
        <w:rPr>
          <w:rFonts w:hint="eastAsia" w:ascii="仿宋_GB2312" w:hAnsi="宋体" w:eastAsia="仿宋_GB2312" w:cs="宋体"/>
          <w:color w:val="333333"/>
          <w:sz w:val="32"/>
          <w:szCs w:val="32"/>
          <w:shd w:val="clear" w:color="auto" w:fill="FFFFFF"/>
          <w:lang w:val="en-US" w:eastAsia="zh-CN"/>
        </w:rPr>
        <w:t>内容还</w:t>
      </w:r>
      <w:r>
        <w:rPr>
          <w:rFonts w:hint="default" w:ascii="仿宋_GB2312" w:hAnsi="宋体" w:eastAsia="仿宋_GB2312" w:cs="宋体"/>
          <w:color w:val="333333"/>
          <w:sz w:val="32"/>
          <w:szCs w:val="32"/>
          <w:shd w:val="clear" w:color="auto" w:fill="FFFFFF"/>
        </w:rPr>
        <w:t>不够</w:t>
      </w:r>
      <w:r>
        <w:rPr>
          <w:rFonts w:hint="eastAsia" w:ascii="仿宋_GB2312" w:hAnsi="宋体" w:eastAsia="仿宋_GB2312" w:cs="宋体"/>
          <w:color w:val="333333"/>
          <w:sz w:val="32"/>
          <w:szCs w:val="32"/>
          <w:shd w:val="clear" w:color="auto" w:fill="FFFFFF"/>
          <w:lang w:val="en-US" w:eastAsia="zh-CN"/>
        </w:rPr>
        <w:t>全面</w:t>
      </w:r>
      <w:r>
        <w:rPr>
          <w:rFonts w:hint="default" w:ascii="仿宋_GB2312" w:hAnsi="宋体" w:eastAsia="仿宋_GB2312" w:cs="宋体"/>
          <w:color w:val="333333"/>
          <w:sz w:val="32"/>
          <w:szCs w:val="32"/>
          <w:shd w:val="clear" w:color="auto" w:fill="FFFFFF"/>
        </w:rPr>
        <w:t>。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default" w:ascii="楷体_GB2312" w:hAnsi="Calibri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（二）改进措施。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一是进一步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强化组织领导。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及时调整充实政务公开领导小组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明确分管领导和具体负责政务公开的工作人员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建立健全协调机制，切实抓好工作落实。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二是进一步加强监督管理。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自觉接受市委市政府监督、人大监督、政协监督和社会舆论监督。加大督查力度，及时处理涉及政务公开的投诉建议，对未按规定公开的，督促有关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部门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及时整改。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三是进一步完善奖惩机制。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对政务公开工作落实好的单位部门和具体人员，按照有关规定予以表彰；对公开工作落实不到位的部门，予以通报批评；对违反政务公开有关规定、不履行公开义务或公开不应当公开事项，并造成严重影响的，依法依规严肃追究责任。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宋体" w:eastAsia="仿宋_GB2312" w:cs="宋体"/>
          <w:color w:val="333333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DA2086"/>
    <w:rsid w:val="0EB52C45"/>
    <w:rsid w:val="3C237AB3"/>
    <w:rsid w:val="442E08BE"/>
    <w:rsid w:val="6F7D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2350</Words>
  <Characters>2388</Characters>
  <Lines>0</Lines>
  <Paragraphs>0</Paragraphs>
  <TotalTime>42</TotalTime>
  <ScaleCrop>false</ScaleCrop>
  <LinksUpToDate>false</LinksUpToDate>
  <CharactersWithSpaces>2388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2020-01-29T09:30:00Z</dcterms:created>
  <dc:creator>Administrator</dc:creator>
  <cp:lastModifiedBy>Rowi</cp:lastModifiedBy>
  <dcterms:modified xsi:type="dcterms:W3CDTF">2020-01-29T14:05:29Z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