
<file path=[Content_Types].xml><?xml version="1.0" encoding="utf-8"?>
<Types xmlns="http://schemas.openxmlformats.org/package/2006/content-types">
  <Default Extension="xml" ContentType="application/xml"/>
  <Default Extension="xlsx" ContentType="application/vnd.openxmlformats-officedocument.spreadsheetml.sheet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harts/chart1.xml" ContentType="application/vnd.openxmlformats-officedocument.drawingml.chart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theme/themeOverride1.xml" ContentType="application/vnd.openxmlformats-officedocument.themeOverride+xml"/>
  <Override PartName="/word/webExtensions/webExtension1.xml" ContentType="application/vnd.wps-officedocument.webExtension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20" w:lineRule="exact"/>
        <w:ind w:left="0" w:right="0" w:righ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333333"/>
          <w:sz w:val="44"/>
          <w:szCs w:val="44"/>
          <w:shd w:val="clear" w:color="auto" w:fill="FFFFFF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color w:val="333333"/>
          <w:sz w:val="44"/>
          <w:szCs w:val="44"/>
          <w:shd w:val="clear" w:color="auto" w:fill="FFFFFF"/>
          <w:lang w:val="en-US" w:eastAsia="zh-CN"/>
        </w:rPr>
        <w:t>聊城市人力资源和社会保障局</w:t>
      </w:r>
    </w:p>
    <w:p>
      <w:pPr>
        <w:pStyle w:val="8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20" w:lineRule="exact"/>
        <w:ind w:left="0" w:right="0" w:rightChars="0" w:firstLine="0" w:firstLine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333333"/>
          <w:sz w:val="44"/>
          <w:szCs w:val="44"/>
          <w:shd w:val="clear" w:color="auto" w:fill="FFFFFF"/>
        </w:rPr>
      </w:pPr>
      <w:r>
        <w:rPr>
          <w:rFonts w:hint="eastAsia" w:ascii="方正小标宋简体" w:hAnsi="方正小标宋简体" w:eastAsia="方正小标宋简体" w:cs="方正小标宋简体"/>
          <w:color w:val="333333"/>
          <w:sz w:val="44"/>
          <w:szCs w:val="44"/>
          <w:shd w:val="clear" w:color="auto" w:fill="FFFFFF"/>
          <w:lang w:eastAsia="zh-CN"/>
        </w:rPr>
        <w:t>202</w:t>
      </w:r>
      <w:r>
        <w:rPr>
          <w:rFonts w:hint="eastAsia" w:ascii="方正小标宋简体" w:hAnsi="方正小标宋简体" w:eastAsia="方正小标宋简体" w:cs="方正小标宋简体"/>
          <w:color w:val="333333"/>
          <w:sz w:val="44"/>
          <w:szCs w:val="44"/>
          <w:shd w:val="clear" w:color="auto" w:fill="FFFFFF"/>
          <w:lang w:val="en-US" w:eastAsia="zh-CN"/>
        </w:rPr>
        <w:t>3</w:t>
      </w:r>
      <w:r>
        <w:rPr>
          <w:rFonts w:hint="eastAsia" w:ascii="方正小标宋简体" w:hAnsi="方正小标宋简体" w:eastAsia="方正小标宋简体" w:cs="方正小标宋简体"/>
          <w:color w:val="333333"/>
          <w:sz w:val="44"/>
          <w:szCs w:val="44"/>
          <w:shd w:val="clear" w:color="auto" w:fill="FFFFFF"/>
        </w:rPr>
        <w:t>年政府信息公开工作年度报告</w:t>
      </w:r>
    </w:p>
    <w:p>
      <w:pPr>
        <w:pStyle w:val="8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left="0" w:right="0" w:rightChars="0" w:firstLine="800" w:firstLineChars="200"/>
        <w:jc w:val="center"/>
        <w:textAlignment w:val="auto"/>
        <w:rPr>
          <w:rFonts w:hint="eastAsia" w:ascii="方正小标宋简体" w:hAnsi="方正小标宋简体" w:eastAsia="方正小标宋简体" w:cs="方正小标宋简体"/>
          <w:color w:val="333333"/>
          <w:sz w:val="40"/>
          <w:szCs w:val="40"/>
          <w:shd w:val="clear" w:color="auto" w:fill="FFFFFF"/>
        </w:rPr>
      </w:pPr>
    </w:p>
    <w:p>
      <w:pPr>
        <w:pStyle w:val="8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eastAsia="zh-CN"/>
        </w:rPr>
        <w:t>本年度报告根据《中华人民共和国政府信息公开条例》第五十条规定编制，内容包括总体情况、主动公开政府信息情况、收到和处理政府信息公开申请情况、政府信息公开行政复议和行政诉讼情况、存在的主要问题及改进情况、其他需要报告的事项等六个部分。本年度报告中所列数据统计期限从2023年1月1日到2023年12月31日。</w:t>
      </w:r>
    </w:p>
    <w:p>
      <w:pPr>
        <w:pStyle w:val="8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leftChars="0" w:right="0" w:rightChars="0" w:firstLine="640" w:firstLineChars="200"/>
        <w:jc w:val="both"/>
        <w:textAlignment w:val="auto"/>
        <w:rPr>
          <w:rFonts w:hint="eastAsia" w:ascii="黑体" w:hAnsi="黑体" w:eastAsia="黑体" w:cs="黑体"/>
          <w:color w:val="333333"/>
          <w:sz w:val="32"/>
          <w:szCs w:val="32"/>
          <w:shd w:val="clear" w:color="auto" w:fill="FFFFFF"/>
          <w:lang w:eastAsia="zh-CN"/>
        </w:rPr>
      </w:pPr>
      <w:r>
        <w:rPr>
          <w:rFonts w:hint="eastAsia" w:ascii="黑体" w:hAnsi="黑体" w:eastAsia="黑体" w:cs="黑体"/>
          <w:color w:val="333333"/>
          <w:sz w:val="32"/>
          <w:szCs w:val="32"/>
          <w:shd w:val="clear" w:color="auto" w:fill="FFFFFF"/>
          <w:lang w:eastAsia="zh-CN"/>
        </w:rPr>
        <w:t>一、总体情况</w:t>
      </w:r>
    </w:p>
    <w:p>
      <w:pPr>
        <w:pStyle w:val="8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eastAsia="zh-CN"/>
        </w:rPr>
        <w:t>202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3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eastAsia="zh-CN"/>
        </w:rPr>
        <w:t>年，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聊城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eastAsia="zh-CN"/>
        </w:rPr>
        <w:t>市人力资源和社会保障局全面深入学习贯彻党的二十大精神，认真落实党中央、国务院政务公开工作各项决策部署，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结合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eastAsia="zh-CN"/>
        </w:rPr>
        <w:t>全市人力资源社会保障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工作实际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eastAsia="zh-CN"/>
        </w:rPr>
        <w:t>，着力创新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公开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eastAsia="zh-CN"/>
        </w:rPr>
        <w:t>机制，主动回应社会关切，完善载体平台建设，更好地发挥以公开促落实、促规范、促服务作用，政务公开工作再上新台阶。</w:t>
      </w:r>
    </w:p>
    <w:p>
      <w:pPr>
        <w:pStyle w:val="14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="0" w:leftChars="0" w:firstLine="640" w:firstLineChars="200"/>
        <w:jc w:val="both"/>
        <w:textAlignment w:val="auto"/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kern w:val="2"/>
          <w:sz w:val="32"/>
          <w:szCs w:val="32"/>
          <w:lang w:val="en-US" w:eastAsia="zh-CN" w:bidi="zh-TW"/>
        </w:rPr>
        <w:t>（一）</w:t>
      </w:r>
      <w:r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  <w:t>主动公开方面。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jc w:val="left"/>
        <w:textAlignment w:val="auto"/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"/>
        </w:rPr>
        <w:t>202</w:t>
      </w:r>
      <w:r>
        <w:rPr>
          <w:rFonts w:hint="eastAsia" w:ascii="仿宋_GB2312" w:hAnsi="宋体" w:eastAsia="仿宋_GB2312" w:cs="宋体"/>
          <w:color w:val="333333"/>
          <w:kern w:val="0"/>
          <w:sz w:val="32"/>
          <w:szCs w:val="32"/>
          <w:shd w:val="clear" w:color="auto" w:fill="FFFFFF"/>
          <w:lang w:val="en-US" w:eastAsia="zh-CN" w:bidi="ar"/>
        </w:rPr>
        <w:t>3年，我局围绕经济社会发展大局，突出公开人社领域重点工作，创新政策解读形式，积极回应群众关切，不断提高主动公开质量。一年来，共主动公开各类信息1649条。其中，政府政务公开平台公开发布信息376条，局门户网站公开发布信息544条，政务新媒体平台公开发布信息729条，其中微信公众平台发布433条，今日头条平台发布296条。发布各类解读信息63条，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eastAsia="zh-CN"/>
        </w:rPr>
        <w:t>通过局门户网站、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政务新媒体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eastAsia="zh-CN"/>
        </w:rPr>
        <w:t>回应公众关注热点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23次，办理答复各类留言438条。</w:t>
      </w:r>
    </w:p>
    <w:p>
      <w:pPr>
        <w:pStyle w:val="8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240" w:lineRule="auto"/>
        <w:ind w:right="0" w:rightChars="0"/>
        <w:jc w:val="both"/>
        <w:textAlignment w:val="auto"/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drawing>
          <wp:inline distT="0" distB="0" distL="114300" distR="114300">
            <wp:extent cx="5677535" cy="3919220"/>
            <wp:effectExtent l="0" t="0" r="12065" b="30480"/>
            <wp:docPr id="2" name="图表 2" descr="7b0a202020202263686172745265734964223a20223230343736303930220a7d0a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9"/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</w:pPr>
      <w:r>
        <w:rPr>
          <w:rFonts w:hint="eastAsia" w:ascii="楷体_GB2312" w:hAnsi="楷体_GB2312" w:eastAsia="楷体_GB2312" w:cs="楷体_GB2312"/>
          <w:color w:val="auto"/>
          <w:kern w:val="2"/>
          <w:sz w:val="32"/>
          <w:szCs w:val="32"/>
          <w:lang w:val="en-US" w:eastAsia="zh-CN" w:bidi="zh-TW"/>
        </w:rPr>
        <w:t>（二）</w:t>
      </w:r>
      <w:r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  <w:t>依申请公开工作方面。</w:t>
      </w:r>
    </w:p>
    <w:p>
      <w:pPr>
        <w:pStyle w:val="8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60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对收到的依申请公开案件，我局形成了由办公室、政策法规科和业务科室单位会商研判的机制，确保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一般案件7个工作日内办结，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复杂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案件答复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依法有据、程序规范。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2023年全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eastAsia="zh-CN"/>
        </w:rPr>
        <w:t>年共收到信息公开申请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11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eastAsia="zh-CN"/>
        </w:rPr>
        <w:t>件，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较上一年度下降26.7%，全部申请均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eastAsia="zh-CN"/>
        </w:rPr>
        <w:t>严格在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承诺办结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eastAsia="zh-CN"/>
        </w:rPr>
        <w:t>时限内进行答复，按时答复率100%。在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答复内容上，我局做到能公开尽公开，全年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eastAsia="zh-CN"/>
        </w:rPr>
        <w:t>因依申请公开提起行政复议案件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1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eastAsia="zh-CN"/>
        </w:rPr>
        <w:t>件，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结果维持1件，败诉0件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eastAsia="zh-CN"/>
        </w:rPr>
        <w:t>；因依申请公开提起行政诉讼案件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0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eastAsia="zh-CN"/>
        </w:rPr>
        <w:t>件，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败诉0件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eastAsia="zh-CN"/>
        </w:rPr>
        <w:t>，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实现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eastAsia="zh-CN"/>
        </w:rPr>
        <w:t>202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3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eastAsia="zh-CN"/>
        </w:rPr>
        <w:t>年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依申请公开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eastAsia="zh-CN"/>
        </w:rPr>
        <w:t>零败诉。</w:t>
      </w:r>
    </w:p>
    <w:p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outlineLvl w:val="9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eastAsia="zh-CN"/>
        </w:rPr>
        <w:drawing>
          <wp:inline distT="0" distB="0" distL="114300" distR="114300">
            <wp:extent cx="5589270" cy="2974340"/>
            <wp:effectExtent l="0" t="0" r="11430" b="1016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9270" cy="2974340"/>
                    </a:xfrm>
                    <a:prstGeom prst="rect">
                      <a:avLst/>
                    </a:prstGeom>
                    <a:extLst>
                      <wpswe:webExtensionRef xmlns:wpswe="http://www.wps.cn/officeDocument/2018/webExtension" r:id="rId6"/>
                    </a:extLst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  <w:t>（三）政府信息管理方面。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一是制定《2023年度政府信息公开工作要点》《2023年政府信息主动公开目录》，明确全年政务公开重点工作和责任分工、时限要求，全面推行决策、执行、管理、服务和结果“五公开”。二是完善政府信息公开源头审查机制。将政府信息公开的属性作为必填项，贯穿公文制发全流程，非主动公开文件必须明确相应理由。三是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zh-TW"/>
        </w:rPr>
        <w:t>严格落实政府信息公开“三审”制度，严把政治关、法律关、保密关、文字关，重要信息做到多人审看、专人把关，确保表述规范、内容准确。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四是强化常态化检查。强化信息审核工作，指定专人做好政务公开平台的信息更新、维护，确保信息内容准确严谨。</w:t>
      </w:r>
    </w:p>
    <w:p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outlineLvl w:val="9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  <w:t>（四）平台建设方面。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一是深入推进局官方网站集约化建设。优化网上服务大厅、办事指南、在线咨询等服务事项，设立 “ 青年兴聊工程”“优化营商环境”等专题专栏，提供全方位、多层次的政务服务和政策宣传。二是充分发挥新媒体宣传推介作用。利用“聊城人社”微信公众号、“聊城人社”今日头条账号，积极推广宣传人社政策法规，解读热点焦点政策，抓好信息宣传。三是充分发挥12333便民热线作用。提供7</w:t>
      </w:r>
      <w:r>
        <w:rPr>
          <w:rFonts w:hint="default" w:ascii="Arial" w:hAnsi="Arial" w:eastAsia="仿宋_GB2312" w:cs="Arial"/>
          <w:color w:val="auto"/>
          <w:kern w:val="2"/>
          <w:sz w:val="32"/>
          <w:szCs w:val="32"/>
          <w:lang w:val="en-US" w:eastAsia="zh-CN" w:bidi="ar-SA"/>
        </w:rPr>
        <w:t>×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24小时人工服务，统一受理并答复群众人社政策咨询，实行“首问负责，一口受理；分类处置，统一回复”。四是不断优化“政务公开服务专区”。设置专职引导员，梳理人民群众关注的热点政策，制定政策明白纸，就业、社保、人才等重点政策通过政务公开宣传屏实施滚动播放，设立自助服务终端机，实现社保查询证明打印、社保卡制发自助办理。</w:t>
      </w:r>
    </w:p>
    <w:p>
      <w:pPr>
        <w:keepNext w:val="0"/>
        <w:keepLines w:val="0"/>
        <w:pageBreakBefore w:val="0"/>
        <w:shd w:val="clear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outlineLvl w:val="9"/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1638300" cy="1638300"/>
            <wp:effectExtent l="0" t="0" r="0" b="0"/>
            <wp:docPr id="10" name="图片 10" descr="af85303bb665e9557cf0354ab26e6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f85303bb665e9557cf0354ab26e6c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600" w:lineRule="exact"/>
        <w:ind w:left="0" w:right="0" w:firstLine="420"/>
        <w:textAlignment w:val="auto"/>
        <w:rPr>
          <w:rFonts w:hint="default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</w:pPr>
      <w:r>
        <w:rPr>
          <w:rFonts w:hint="eastAsia" w:ascii="楷体_GB2312" w:hAnsi="楷体_GB2312" w:eastAsia="楷体_GB2312" w:cs="楷体_GB2312"/>
          <w:color w:val="auto"/>
          <w:sz w:val="32"/>
          <w:szCs w:val="32"/>
          <w:lang w:val="en-US" w:eastAsia="zh-CN"/>
        </w:rPr>
        <w:t>（五）监督保障方面。</w:t>
      </w: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val="en-US" w:eastAsia="zh-CN" w:bidi="ar-SA"/>
        </w:rPr>
        <w:t>一是强化组织保障。形成了局主要负责同志负总责，分管领导靠上抓，办公室综合协调，业务科室、单位全力配合，责任到人的工作机制。二是加强工作培训。除了进行专题培训外，还实行以干代训，将政务公开工作融入日常业务工作中，通过实践增长政务公开业务能力。三是强化考核问效。提高政务公开工作在</w:t>
      </w:r>
      <w:r>
        <w:rPr>
          <w:rFonts w:hint="eastAsia" w:ascii="仿宋_GB2312" w:hAnsi="Calibri" w:eastAsia="仿宋_GB2312" w:cs="仿宋_GB2312"/>
          <w:i w:val="0"/>
          <w:caps w:val="0"/>
          <w:color w:val="333333"/>
          <w:spacing w:val="0"/>
          <w:sz w:val="32"/>
          <w:szCs w:val="32"/>
          <w:shd w:val="clear" w:fill="FFFFFF"/>
          <w:lang w:val="en-US" w:eastAsia="zh-CN"/>
        </w:rPr>
        <w:t>评优评先考察和绩效考核中的权重。</w:t>
      </w:r>
    </w:p>
    <w:p>
      <w:pPr>
        <w:pStyle w:val="8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left="0" w:leftChars="0" w:right="0" w:rightChars="0" w:firstLine="640" w:firstLineChars="200"/>
        <w:jc w:val="both"/>
        <w:textAlignment w:val="auto"/>
        <w:rPr>
          <w:rFonts w:hint="eastAsia" w:ascii="黑体" w:hAnsi="黑体" w:eastAsia="黑体" w:cs="黑体"/>
          <w:color w:val="333333"/>
          <w:sz w:val="32"/>
          <w:szCs w:val="32"/>
          <w:shd w:val="clear" w:color="auto" w:fill="FFFFFF"/>
          <w:lang w:val="en-US" w:eastAsia="zh-CN"/>
        </w:rPr>
      </w:pPr>
    </w:p>
    <w:p>
      <w:pPr>
        <w:pStyle w:val="8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left="0" w:leftChars="0" w:right="0" w:rightChars="0" w:firstLine="640" w:firstLineChars="200"/>
        <w:jc w:val="both"/>
        <w:textAlignment w:val="auto"/>
        <w:rPr>
          <w:rFonts w:hint="eastAsia" w:ascii="黑体" w:hAnsi="黑体" w:eastAsia="黑体" w:cs="黑体"/>
          <w:color w:val="333333"/>
          <w:sz w:val="32"/>
          <w:szCs w:val="32"/>
          <w:shd w:val="clear" w:color="auto" w:fill="FFFFFF"/>
          <w:lang w:eastAsia="zh-CN"/>
        </w:rPr>
      </w:pPr>
      <w:r>
        <w:rPr>
          <w:rFonts w:hint="eastAsia" w:ascii="黑体" w:hAnsi="黑体" w:eastAsia="黑体" w:cs="黑体"/>
          <w:color w:val="333333"/>
          <w:sz w:val="32"/>
          <w:szCs w:val="32"/>
          <w:shd w:val="clear" w:color="auto" w:fill="FFFFFF"/>
          <w:lang w:val="en-US" w:eastAsia="zh-CN"/>
        </w:rPr>
        <w:t>二、</w:t>
      </w:r>
      <w:r>
        <w:rPr>
          <w:rFonts w:hint="eastAsia" w:ascii="黑体" w:hAnsi="黑体" w:eastAsia="黑体" w:cs="黑体"/>
          <w:color w:val="333333"/>
          <w:sz w:val="32"/>
          <w:szCs w:val="32"/>
          <w:shd w:val="clear" w:color="auto" w:fill="FFFFFF"/>
          <w:lang w:eastAsia="zh-CN"/>
        </w:rPr>
        <w:t>主动公开政府信息情况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firstLine="0" w:firstLineChars="0"/>
        <w:textAlignment w:val="auto"/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</w:pPr>
      <w:r>
        <w:drawing>
          <wp:inline distT="0" distB="0" distL="114300" distR="114300">
            <wp:extent cx="5795645" cy="7457440"/>
            <wp:effectExtent l="0" t="0" r="8255" b="1016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95645" cy="74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br w:type="page"/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vertAlign w:val="baseline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vertAlign w:val="baseline"/>
        </w:rPr>
        <w:t>三、收到和处理政府信息公开申请情况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0" w:firstLineChars="0"/>
        <w:jc w:val="both"/>
        <w:textAlignment w:val="auto"/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vertAlign w:val="baseline"/>
        </w:rPr>
      </w:pPr>
      <w:r>
        <w:drawing>
          <wp:inline distT="0" distB="0" distL="114300" distR="114300">
            <wp:extent cx="5774690" cy="7833360"/>
            <wp:effectExtent l="0" t="0" r="3810" b="2540"/>
            <wp:docPr id="8" name="图片 3" descr="D:/Users/Rowi/Desktop/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D:/Users/Rowi/Desktop/图片1.png图片1"/>
                    <pic:cNvPicPr>
                      <a:picLocks noChangeAspect="1"/>
                    </pic:cNvPicPr>
                  </pic:nvPicPr>
                  <pic:blipFill>
                    <a:blip r:embed="rId10"/>
                    <a:srcRect t="11" b="11"/>
                    <a:stretch>
                      <a:fillRect/>
                    </a:stretch>
                  </pic:blipFill>
                  <pic:spPr>
                    <a:xfrm>
                      <a:off x="0" y="0"/>
                      <a:ext cx="5774690" cy="78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vertAlign w:val="baseline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vertAlign w:val="baseline"/>
        </w:rPr>
        <w:t>四、政府信息公开行政复议、行政诉讼情况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right="0"/>
        <w:jc w:val="both"/>
        <w:textAlignment w:val="auto"/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vertAlign w:val="baseline"/>
        </w:rPr>
      </w:pPr>
      <w:r>
        <w:drawing>
          <wp:inline distT="0" distB="0" distL="114300" distR="114300">
            <wp:extent cx="5685790" cy="2166620"/>
            <wp:effectExtent l="0" t="0" r="3810" b="508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5790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vertAlign w:val="baseline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vertAlign w:val="baseline"/>
        </w:rPr>
        <w:t>五、存在的主要问题及改进情况</w:t>
      </w:r>
    </w:p>
    <w:p>
      <w:pPr>
        <w:pStyle w:val="8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2023年，我局在公众参与和政策解读等方面还存在不足，针对上述情况提出以下改进措施：</w:t>
      </w:r>
    </w:p>
    <w:p>
      <w:pPr>
        <w:pStyle w:val="14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620"/>
        <w:jc w:val="both"/>
        <w:textAlignment w:val="auto"/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zh-TW"/>
        </w:rPr>
      </w:pP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一是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zh-TW"/>
        </w:rPr>
        <w:t>持续深化利益相关方、群众代表、专家、媒体等列席</w:t>
      </w:r>
      <w:r>
        <w:rPr>
          <w:rFonts w:hint="eastAsia" w:hAnsi="仿宋_GB2312" w:cs="仿宋_GB2312"/>
          <w:kern w:val="2"/>
          <w:sz w:val="32"/>
          <w:szCs w:val="32"/>
          <w:lang w:val="en-US" w:eastAsia="zh-CN" w:bidi="zh-TW"/>
        </w:rPr>
        <w:t>局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zh-TW"/>
        </w:rPr>
        <w:t>长办公会议工作</w:t>
      </w:r>
      <w:r>
        <w:rPr>
          <w:rFonts w:hint="eastAsia" w:hAnsi="仿宋_GB2312" w:cs="仿宋_GB2312"/>
          <w:kern w:val="2"/>
          <w:sz w:val="32"/>
          <w:szCs w:val="32"/>
          <w:lang w:val="en-US" w:eastAsia="zh-CN" w:bidi="zh-TW"/>
        </w:rPr>
        <w:t>机制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zh-TW"/>
        </w:rPr>
        <w:t>，邀请</w:t>
      </w:r>
      <w:r>
        <w:rPr>
          <w:rFonts w:hint="eastAsia" w:hAnsi="仿宋_GB2312" w:cs="仿宋_GB2312"/>
          <w:kern w:val="2"/>
          <w:sz w:val="32"/>
          <w:szCs w:val="32"/>
          <w:lang w:val="en-US" w:eastAsia="zh-CN" w:bidi="zh-TW"/>
        </w:rPr>
        <w:t>企业代表、专家、媒体人员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zh-TW"/>
        </w:rPr>
        <w:t>参加人社领域参与审议重要议题、参加政府开放日活动等。</w:t>
      </w:r>
    </w:p>
    <w:p>
      <w:pPr>
        <w:pStyle w:val="8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二是进一步加大政策解读力度。继续坚持以企业群众需求为导向，着重解读政策措施的背景依据、任务目标、主要内容、涉及范围、执行标准等相关要素，积极运用一图读懂、短视频及政策咨询问答的方式和专家解读、媒体评论等方法，让企业群众听得懂、记得住、用得上，不断扩大解读信息受众面。</w:t>
      </w: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80" w:lineRule="exact"/>
        <w:ind w:left="0" w:right="0" w:firstLine="64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vertAlign w:val="baseline"/>
        </w:rPr>
      </w:pPr>
      <w:r>
        <w:rPr>
          <w:rFonts w:hint="eastAsia" w:ascii="黑体" w:hAnsi="黑体" w:eastAsia="黑体" w:cs="黑体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vertAlign w:val="baseline"/>
        </w:rPr>
        <w:t>六、其他需要报告的事项</w:t>
      </w:r>
    </w:p>
    <w:p>
      <w:pPr>
        <w:pStyle w:val="8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left="0" w:leftChars="0" w:right="0" w:rightChars="0" w:firstLine="640" w:firstLineChars="200"/>
        <w:jc w:val="both"/>
        <w:textAlignment w:val="auto"/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楷体_GB2312" w:hAnsi="楷体_GB2312" w:eastAsia="楷体_GB2312" w:cs="楷体_GB2312"/>
          <w:color w:val="333333"/>
          <w:sz w:val="32"/>
          <w:szCs w:val="32"/>
          <w:shd w:val="clear" w:color="auto" w:fill="FFFFFF"/>
          <w:lang w:val="en-US" w:eastAsia="zh-CN"/>
        </w:rPr>
        <w:t>（一）</w:t>
      </w:r>
      <w:r>
        <w:rPr>
          <w:rFonts w:hint="eastAsia" w:ascii="楷体_GB2312" w:hAnsi="楷体_GB2312" w:eastAsia="楷体_GB2312" w:cs="楷体_GB2312"/>
          <w:color w:val="333333"/>
          <w:sz w:val="32"/>
          <w:szCs w:val="32"/>
          <w:shd w:val="clear" w:color="auto" w:fill="FFFFFF"/>
          <w:lang w:val="en-US" w:eastAsia="zh-CN"/>
        </w:rPr>
        <w:t>依申请公开信息处理费收费情况。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聊城</w:t>
      </w:r>
      <w:r>
        <w:rPr>
          <w:rFonts w:hint="default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市人力资源社会保障局202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3</w:t>
      </w:r>
      <w:r>
        <w:rPr>
          <w:rFonts w:hint="default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年度未收取政府信息公开费用。</w:t>
      </w:r>
    </w:p>
    <w:p>
      <w:pPr>
        <w:pStyle w:val="8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left="0" w:leftChars="0" w:right="0" w:rightChars="0" w:firstLine="640" w:firstLineChars="200"/>
        <w:jc w:val="both"/>
        <w:textAlignment w:val="auto"/>
        <w:rPr>
          <w:rFonts w:hint="default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楷体_GB2312" w:hAnsi="楷体_GB2312" w:eastAsia="楷体_GB2312" w:cs="楷体_GB2312"/>
          <w:color w:val="333333"/>
          <w:sz w:val="32"/>
          <w:szCs w:val="32"/>
          <w:shd w:val="clear" w:color="auto" w:fill="FFFFFF"/>
          <w:lang w:val="en-US" w:eastAsia="zh-CN"/>
        </w:rPr>
        <w:t>（二）人大代表建议和政协委员提案办理结果公开情况。</w:t>
      </w:r>
      <w:r>
        <w:rPr>
          <w:rFonts w:hint="default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我局高度重视建议和提案办理结果公开工作，202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3</w:t>
      </w:r>
      <w:r>
        <w:rPr>
          <w:rFonts w:hint="default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年共办理人大代表建议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19</w:t>
      </w:r>
      <w:r>
        <w:rPr>
          <w:rFonts w:hint="default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件、政协提案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15</w:t>
      </w:r>
      <w:r>
        <w:rPr>
          <w:rFonts w:hint="default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件，按时办结率均为100%，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办理答复情况在政务公开平台</w:t>
      </w:r>
      <w:r>
        <w:rPr>
          <w:rFonts w:hint="default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进行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了</w:t>
      </w:r>
      <w:r>
        <w:rPr>
          <w:rFonts w:hint="default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公开。</w:t>
      </w:r>
    </w:p>
    <w:p>
      <w:pPr>
        <w:pStyle w:val="8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left="0" w:leftChars="0" w:right="0" w:rightChars="0" w:firstLine="640" w:firstLineChars="200"/>
        <w:jc w:val="both"/>
        <w:textAlignment w:val="auto"/>
        <w:rPr>
          <w:rFonts w:hint="default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</w:pPr>
      <w:r>
        <w:rPr>
          <w:rFonts w:hint="default" w:ascii="楷体_GB2312" w:hAnsi="楷体_GB2312" w:eastAsia="楷体_GB2312" w:cs="楷体_GB2312"/>
          <w:color w:val="333333"/>
          <w:sz w:val="32"/>
          <w:szCs w:val="32"/>
          <w:shd w:val="clear" w:color="auto" w:fill="FFFFFF"/>
          <w:lang w:val="en-US" w:eastAsia="zh-CN"/>
        </w:rPr>
        <w:t>（三）落实年度政务公开工作要点情况。</w:t>
      </w:r>
      <w:r>
        <w:rPr>
          <w:rFonts w:hint="default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一是规范开展政策集中统一公开。持续规范政府信息公开专栏建设，确保法定主动公开内容规范发布。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二是</w:t>
      </w:r>
      <w:r>
        <w:rPr>
          <w:rFonts w:hint="default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加强主动公开基本目录动态管理，根据重点任务及群众需求，实时调整更新。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三是积极配合</w:t>
      </w:r>
      <w:r>
        <w:rPr>
          <w:rFonts w:hint="default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政府文件库建设，规范</w:t>
      </w:r>
      <w:r>
        <w:rPr>
          <w:rFonts w:hint="eastAsia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整理</w:t>
      </w:r>
      <w:r>
        <w:rPr>
          <w:rFonts w:hint="default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  <w:t>各类政府文件，做到要素齐全、格式规范。</w:t>
      </w:r>
    </w:p>
    <w:p>
      <w:pPr>
        <w:pStyle w:val="14"/>
        <w:keepNext w:val="0"/>
        <w:keepLines w:val="0"/>
        <w:pageBreakBefore w:val="0"/>
        <w:widowControl w:val="0"/>
        <w:kinsoku/>
        <w:overflowPunct/>
        <w:topLinePunct w:val="0"/>
        <w:autoSpaceDE/>
        <w:autoSpaceDN/>
        <w:bidi w:val="0"/>
        <w:adjustRightInd/>
        <w:snapToGrid/>
        <w:spacing w:line="600" w:lineRule="exact"/>
        <w:ind w:firstLine="620"/>
        <w:jc w:val="both"/>
        <w:textAlignment w:val="auto"/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default" w:ascii="楷体_GB2312" w:hAnsi="楷体_GB2312" w:eastAsia="楷体_GB2312" w:cs="楷体_GB2312"/>
          <w:color w:val="333333"/>
          <w:sz w:val="32"/>
          <w:szCs w:val="32"/>
          <w:shd w:val="clear" w:color="auto" w:fill="FFFFFF"/>
          <w:lang w:val="en-US" w:eastAsia="zh-CN"/>
        </w:rPr>
        <w:t>（四）政务公开工作</w:t>
      </w:r>
      <w:r>
        <w:rPr>
          <w:rFonts w:hint="eastAsia" w:ascii="楷体_GB2312" w:hAnsi="楷体_GB2312" w:eastAsia="楷体_GB2312" w:cs="楷体_GB2312"/>
          <w:color w:val="333333"/>
          <w:sz w:val="32"/>
          <w:szCs w:val="32"/>
          <w:shd w:val="clear" w:color="auto" w:fill="FFFFFF"/>
          <w:lang w:val="en-US" w:eastAsia="zh-CN"/>
        </w:rPr>
        <w:t>创新实践情况。</w:t>
      </w:r>
      <w:r>
        <w:rPr>
          <w:rFonts w:hint="eastAsia" w:ascii="仿宋_GB2312" w:hAnsi="仿宋_GB2312" w:eastAsia="仿宋_GB2312" w:cs="仿宋_GB2312"/>
          <w:kern w:val="2"/>
          <w:sz w:val="32"/>
          <w:szCs w:val="32"/>
          <w:lang w:val="en-US" w:eastAsia="zh-CN" w:bidi="zh-TW"/>
        </w:rPr>
        <w:t>在做好政务公开基础性工作的同时，把政务新媒体宣传工作摆在突出位置，健全工作机制，强化工作措施，打造特色亮点。通过“聊城人社”微信公众号、“聊城人社”，积极推广宣传人社政策法规，解读政策，发布重要工作动态，努力形成门户网站、微信公众号、今日头条三个网络平台相辅相成，共同服务群众的良好格局。</w:t>
      </w:r>
    </w:p>
    <w:p>
      <w:pPr>
        <w:pStyle w:val="8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80" w:lineRule="exact"/>
        <w:ind w:left="0" w:leftChars="0" w:right="0" w:rightChars="0" w:firstLine="640" w:firstLineChars="200"/>
        <w:jc w:val="both"/>
        <w:textAlignment w:val="auto"/>
        <w:rPr>
          <w:rFonts w:hint="default" w:ascii="仿宋_GB2312" w:hAnsi="宋体" w:eastAsia="仿宋_GB2312" w:cs="宋体"/>
          <w:color w:val="333333"/>
          <w:sz w:val="32"/>
          <w:szCs w:val="32"/>
          <w:shd w:val="clear" w:color="auto" w:fill="FFFFFF"/>
          <w:lang w:val="en-US" w:eastAsia="zh-CN"/>
        </w:rPr>
      </w:pPr>
    </w:p>
    <w:p>
      <w:pPr>
        <w:pStyle w:val="8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640" w:firstLineChars="200"/>
        <w:jc w:val="both"/>
        <w:textAlignment w:val="auto"/>
        <w:rPr>
          <w:rFonts w:hint="eastAsia" w:ascii="仿宋_GB2312" w:hAnsi="仿宋_GB2312" w:eastAsia="仿宋_GB2312" w:cs="仿宋_GB2312"/>
          <w:b w:val="0"/>
          <w:bCs w:val="0"/>
          <w:i w:val="0"/>
          <w:iCs w:val="0"/>
          <w:caps w:val="0"/>
          <w:color w:val="auto"/>
          <w:spacing w:val="0"/>
          <w:sz w:val="32"/>
          <w:szCs w:val="32"/>
          <w:shd w:val="clear" w:fill="FFFFFF"/>
          <w:vertAlign w:val="baseline"/>
        </w:rPr>
      </w:pPr>
    </w:p>
    <w:sectPr>
      <w:footerReference r:id="rId3" w:type="default"/>
      <w:pgSz w:w="11906" w:h="16838"/>
      <w:pgMar w:top="1814" w:right="1474" w:bottom="1701" w:left="147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91E8B81E-8C24-4D4B-87F1-7BF90C29717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CD6792D5-6E8C-4071-A264-EB1D09616393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4AF4B888-DFC8-4846-8E5C-0096E392DF0D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BC66D4B7-76C3-4E02-B9C4-7CDEEB1BF2A5}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5" w:fontKey="{B9AA6CD8-36DB-4347-B5DD-BA78F2966569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1DC9DC4A-5E32-48F6-831F-A46B54FFE004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hiNGJmMWUwMjAzNGY0MzVjMjEzYTJiN2FkODFiNjAifQ=="/>
    <w:docVar w:name="KSO_WPS_MARK_KEY" w:val="fa7ae47c-279f-420c-80ba-5e600ea480ac"/>
  </w:docVars>
  <w:rsids>
    <w:rsidRoot w:val="00000000"/>
    <w:rsid w:val="00903D43"/>
    <w:rsid w:val="07117EF5"/>
    <w:rsid w:val="090412D1"/>
    <w:rsid w:val="09A3142C"/>
    <w:rsid w:val="0E7837A4"/>
    <w:rsid w:val="13D8182B"/>
    <w:rsid w:val="14F6073C"/>
    <w:rsid w:val="15285AC3"/>
    <w:rsid w:val="15436485"/>
    <w:rsid w:val="16551BAC"/>
    <w:rsid w:val="17B91F3F"/>
    <w:rsid w:val="1A8A0842"/>
    <w:rsid w:val="1B756B40"/>
    <w:rsid w:val="1DD95C6F"/>
    <w:rsid w:val="24D04133"/>
    <w:rsid w:val="24D657F6"/>
    <w:rsid w:val="26DB60FD"/>
    <w:rsid w:val="27BF3613"/>
    <w:rsid w:val="2D5E5392"/>
    <w:rsid w:val="2E6E5B02"/>
    <w:rsid w:val="31374878"/>
    <w:rsid w:val="360D1549"/>
    <w:rsid w:val="370F708B"/>
    <w:rsid w:val="373B04F2"/>
    <w:rsid w:val="3B6022FA"/>
    <w:rsid w:val="42B86E9B"/>
    <w:rsid w:val="44F25977"/>
    <w:rsid w:val="45A357E7"/>
    <w:rsid w:val="462E521F"/>
    <w:rsid w:val="4CF1653F"/>
    <w:rsid w:val="4ECA77AA"/>
    <w:rsid w:val="501716A5"/>
    <w:rsid w:val="51C969CF"/>
    <w:rsid w:val="5489387F"/>
    <w:rsid w:val="54D44BD5"/>
    <w:rsid w:val="563C52DF"/>
    <w:rsid w:val="5807279D"/>
    <w:rsid w:val="58333655"/>
    <w:rsid w:val="5A6779AA"/>
    <w:rsid w:val="5AEA0A03"/>
    <w:rsid w:val="5AFC150E"/>
    <w:rsid w:val="5BCF552A"/>
    <w:rsid w:val="5C052890"/>
    <w:rsid w:val="60583D80"/>
    <w:rsid w:val="61EE0454"/>
    <w:rsid w:val="627A2261"/>
    <w:rsid w:val="665B6338"/>
    <w:rsid w:val="6A090262"/>
    <w:rsid w:val="73BE3A62"/>
    <w:rsid w:val="7EC27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99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4"/>
    <w:basedOn w:val="1"/>
    <w:next w:val="1"/>
    <w:autoRedefine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10">
    <w:name w:val="Default Paragraph Font"/>
    <w:autoRedefine/>
    <w:semiHidden/>
    <w:qFormat/>
    <w:uiPriority w:val="0"/>
  </w:style>
  <w:style w:type="table" w:default="1" w:styleId="9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note text"/>
    <w:basedOn w:val="1"/>
    <w:autoRedefine/>
    <w:qFormat/>
    <w:uiPriority w:val="0"/>
    <w:pPr>
      <w:snapToGrid w:val="0"/>
      <w:jc w:val="left"/>
    </w:pPr>
    <w:rPr>
      <w:rFonts w:ascii="Calibri" w:hAnsi="Calibri" w:eastAsia="宋体" w:cs="Times New Roman"/>
      <w:sz w:val="18"/>
      <w:szCs w:val="18"/>
    </w:rPr>
  </w:style>
  <w:style w:type="paragraph" w:styleId="4">
    <w:name w:val="Plain Text"/>
    <w:basedOn w:val="1"/>
    <w:autoRedefine/>
    <w:qFormat/>
    <w:uiPriority w:val="99"/>
    <w:rPr>
      <w:rFonts w:ascii="宋体" w:hAnsi="Courier New"/>
    </w:r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autoRedefine/>
    <w:qFormat/>
    <w:uiPriority w:val="0"/>
    <w:rPr>
      <w:rFonts w:ascii="仿宋" w:hAnsi="Times New Roman" w:eastAsia="仿宋" w:cs="Times New Roman"/>
      <w:b/>
      <w:color w:val="000000"/>
      <w:sz w:val="28"/>
      <w:szCs w:val="28"/>
    </w:rPr>
  </w:style>
  <w:style w:type="paragraph" w:styleId="8">
    <w:name w:val="Normal (Web)"/>
    <w:basedOn w:val="1"/>
    <w:autoRedefine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1">
    <w:name w:val="Strong"/>
    <w:basedOn w:val="10"/>
    <w:autoRedefine/>
    <w:qFormat/>
    <w:uiPriority w:val="0"/>
    <w:rPr>
      <w:b/>
    </w:rPr>
  </w:style>
  <w:style w:type="character" w:styleId="12">
    <w:name w:val="Emphasis"/>
    <w:basedOn w:val="10"/>
    <w:autoRedefine/>
    <w:qFormat/>
    <w:uiPriority w:val="0"/>
    <w:rPr>
      <w:i/>
    </w:rPr>
  </w:style>
  <w:style w:type="character" w:styleId="13">
    <w:name w:val="Hyperlink"/>
    <w:basedOn w:val="10"/>
    <w:autoRedefine/>
    <w:qFormat/>
    <w:uiPriority w:val="0"/>
    <w:rPr>
      <w:color w:val="0000FF"/>
      <w:u w:val="single"/>
    </w:rPr>
  </w:style>
  <w:style w:type="paragraph" w:customStyle="1" w:styleId="14">
    <w:name w:val="Body text|1"/>
    <w:basedOn w:val="1"/>
    <w:autoRedefine/>
    <w:qFormat/>
    <w:uiPriority w:val="0"/>
    <w:pPr>
      <w:spacing w:line="480" w:lineRule="auto"/>
      <w:ind w:firstLine="400"/>
    </w:pPr>
    <w:rPr>
      <w:rFonts w:ascii="仿宋_GB2312" w:hAnsi="宋体" w:eastAsia="仿宋_GB2312" w:cs="宋体"/>
      <w:sz w:val="32"/>
      <w:szCs w:val="28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www.wps.cn/officeDocument/2018/webExtension" Target="webExtensions/webExtension1.xml"/><Relationship Id="rId5" Type="http://schemas.openxmlformats.org/officeDocument/2006/relationships/chart" Target="charts/chart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themeOverride" Target="../theme/themeOverride1.xml"/><Relationship Id="rId1" Type="http://schemas.openxmlformats.org/officeDocument/2006/relationships/package" Target="../embeddings/Workbook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0" vertOverflow="ellipsis" vert="horz" wrap="square" anchor="ctr" anchorCtr="1" forceAA="0"/>
          <a:lstStyle/>
          <a:p>
            <a:pPr defTabSz="914400">
              <a:defRPr lang="zh-CN" sz="1800" b="1" i="0" u="none" strike="noStrike" kern="1200" cap="all" baseline="0">
                <a:ln w="12700" cmpd="sng">
                  <a:noFill/>
                  <a:prstDash val="solid"/>
                </a:ln>
                <a:solidFill>
                  <a:srgbClr val="0070C0"/>
                </a:solidFill>
                <a:latin typeface="+mn-lt"/>
                <a:ea typeface="+mn-ea"/>
                <a:cs typeface="+mn-cs"/>
              </a:defRPr>
            </a:pPr>
            <a:r>
              <a:rPr sz="1800" b="1">
                <a:ln w="12700" cmpd="sng">
                  <a:noFill/>
                  <a:prstDash val="solid"/>
                </a:ln>
                <a:solidFill>
                  <a:srgbClr val="0070C0"/>
                </a:solidFill>
              </a:rPr>
              <a:t>主动公开信息数量</a:t>
            </a:r>
            <a:endParaRPr sz="1800" b="1">
              <a:ln w="12700" cmpd="sng">
                <a:noFill/>
                <a:prstDash val="solid"/>
              </a:ln>
              <a:solidFill>
                <a:srgbClr val="0070C0"/>
              </a:solidFill>
            </a:endParaRPr>
          </a:p>
        </c:rich>
      </c:tx>
      <c:layout>
        <c:manualLayout>
          <c:xMode val="edge"/>
          <c:yMode val="edge"/>
          <c:x val="0.355448675520511"/>
          <c:y val="0.0328245527654686"/>
        </c:manualLayout>
      </c:layout>
      <c:overlay val="0"/>
      <c:spPr>
        <a:noFill/>
        <a:ln w="28575" cmpd="sng">
          <a:noFill/>
          <a:prstDash val="solid"/>
        </a:ln>
        <a:effectLst/>
      </c:spPr>
    </c:title>
    <c:autoTitleDeleted val="0"/>
    <c:view3D>
      <c:rotX val="30"/>
      <c:rotY val="168"/>
      <c:depthPercent val="10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0987585281288443"/>
          <c:y val="0.181788723266364"/>
          <c:w val="0.808634380941729"/>
          <c:h val="0.697828904731043"/>
        </c:manualLayout>
      </c:layout>
      <c:pie3DChart>
        <c:varyColors val="1"/>
        <c:ser>
          <c:idx val="0"/>
          <c:order val="0"/>
          <c:spPr>
            <a:ln>
              <a:solidFill>
                <a:srgbClr val="5B9BD5">
                  <a:lumMod val="20000"/>
                  <a:lumOff val="80000"/>
                </a:srgbClr>
              </a:solidFill>
            </a:ln>
            <a:scene3d>
              <a:camera prst="orthographicFront"/>
              <a:lightRig rig="threePt" dir="t"/>
            </a:scene3d>
            <a:sp3d contourW="19050"/>
          </c:spPr>
          <c:explosion val="0"/>
          <c:dPt>
            <c:idx val="0"/>
            <c:bubble3D val="0"/>
            <c:spPr>
              <a:solidFill>
                <a:srgbClr val="4472C4">
                  <a:lumMod val="20000"/>
                  <a:lumOff val="80000"/>
                </a:srgbClr>
              </a:solidFill>
              <a:ln w="19050">
                <a:solidFill>
                  <a:srgbClr val="5B9BD5">
                    <a:lumMod val="20000"/>
                    <a:lumOff val="80000"/>
                  </a:srgbClr>
                </a:solidFill>
              </a:ln>
              <a:effectLst>
                <a:innerShdw blurRad="114300">
                  <a:schemeClr val="accent1">
                    <a:lumMod val="75000"/>
                  </a:schemeClr>
                </a:innerShdw>
              </a:effectLst>
            </c:spPr>
          </c:dPt>
          <c:dPt>
            <c:idx val="1"/>
            <c:bubble3D val="0"/>
            <c:spPr>
              <a:gradFill>
                <a:gsLst>
                  <a:gs pos="0">
                    <a:srgbClr val="9BE3E0"/>
                  </a:gs>
                  <a:gs pos="50000">
                    <a:srgbClr val="59C4C4"/>
                  </a:gs>
                  <a:gs pos="100000">
                    <a:srgbClr val="16A4A7"/>
                  </a:gs>
                </a:gsLst>
                <a:lin ang="8100000" scaled="1"/>
              </a:gradFill>
              <a:ln w="19050">
                <a:solidFill>
                  <a:srgbClr val="5B9BD5">
                    <a:lumMod val="20000"/>
                    <a:lumOff val="80000"/>
                  </a:srgbClr>
                </a:solidFill>
              </a:ln>
              <a:effectLst>
                <a:innerShdw blurRad="114300">
                  <a:srgbClr val="70AD47"/>
                </a:innerShdw>
              </a:effectLst>
            </c:spPr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rgbClr val="5B9BD5">
                    <a:lumMod val="20000"/>
                    <a:lumOff val="80000"/>
                  </a:srgbClr>
                </a:solidFill>
              </a:ln>
              <a:effectLst>
                <a:innerShdw blurRad="114300">
                  <a:schemeClr val="accent3">
                    <a:lumMod val="75000"/>
                  </a:schemeClr>
                </a:innerShdw>
              </a:effectLst>
            </c:spPr>
          </c:dPt>
          <c:dLbls>
            <c:dLbl>
              <c:idx val="0"/>
              <c:layout>
                <c:manualLayout>
                  <c:x val="-0.0760541326473549"/>
                  <c:y val="-0.0210628645495787"/>
                </c:manualLayout>
              </c:layout>
              <c:tx>
                <c:rich>
                  <a:bodyPr rot="0" spcFirstLastPara="0" vertOverflow="ellipsis" vert="horz" wrap="square" lIns="38100" tIns="19050" rIns="38100" bIns="19050" anchor="ctr" anchorCtr="1" forceAA="0"/>
                  <a:lstStyle/>
                  <a:p>
                    <a:pPr defTabSz="914400">
                      <a:defRPr lang="zh-CN" sz="1000" b="1" i="0" u="none" strike="noStrike" kern="1200" baseline="0">
                        <a:gradFill>
                          <a:gsLst>
                            <a:gs pos="82000">
                              <a:srgbClr val="5A80A7">
                                <a:alpha val="100000"/>
                                <a:lumMod val="64000"/>
                              </a:srgbClr>
                            </a:gs>
                            <a:gs pos="0">
                              <a:srgbClr val="91AAC4"/>
                            </a:gs>
                            <a:gs pos="100000">
                              <a:srgbClr val="235589"/>
                            </a:gs>
                          </a:gsLst>
                          <a:lin ang="5400000" scaled="1"/>
                        </a:gradFill>
                        <a:latin typeface="+mn-lt"/>
                        <a:ea typeface="+mn-ea"/>
                        <a:cs typeface="+mn-cs"/>
                      </a:defRPr>
                    </a:pPr>
                    <a:r>
                      <a:rPr>
                        <a:gradFill>
                          <a:gsLst>
                            <a:gs pos="82000">
                              <a:srgbClr val="5A80A7">
                                <a:alpha val="100000"/>
                                <a:lumMod val="64000"/>
                              </a:srgbClr>
                            </a:gs>
                            <a:gs pos="0">
                              <a:srgbClr val="91AAC4"/>
                            </a:gs>
                            <a:gs pos="100000">
                              <a:srgbClr val="235589"/>
                            </a:gs>
                          </a:gsLst>
                          <a:lin ang="5400000" scaled="1"/>
                        </a:gradFill>
                      </a:rPr>
                      <a:t>政务公开平台</a:t>
                    </a:r>
                    <a:endParaRPr>
                      <a:gradFill>
                        <a:gsLst>
                          <a:gs pos="82000">
                            <a:srgbClr val="5A80A7">
                              <a:alpha val="100000"/>
                              <a:lumMod val="64000"/>
                            </a:srgbClr>
                          </a:gs>
                          <a:gs pos="0">
                            <a:srgbClr val="91AAC4"/>
                          </a:gs>
                          <a:gs pos="100000">
                            <a:srgbClr val="235589"/>
                          </a:gs>
                        </a:gsLst>
                        <a:lin ang="5400000" scaled="1"/>
                      </a:gradFill>
                    </a:endParaRPr>
                  </a:p>
                  <a:p>
                    <a:pPr defTabSz="914400">
                      <a:defRPr lang="zh-CN" sz="1000" b="1" i="0" u="none" strike="noStrike" kern="1200" baseline="0">
                        <a:gradFill>
                          <a:gsLst>
                            <a:gs pos="82000">
                              <a:srgbClr val="5A80A7">
                                <a:alpha val="100000"/>
                                <a:lumMod val="64000"/>
                              </a:srgbClr>
                            </a:gs>
                            <a:gs pos="0">
                              <a:srgbClr val="91AAC4"/>
                            </a:gs>
                            <a:gs pos="100000">
                              <a:srgbClr val="235589"/>
                            </a:gs>
                          </a:gsLst>
                          <a:lin ang="5400000" scaled="1"/>
                        </a:gradFill>
                        <a:latin typeface="+mn-lt"/>
                        <a:ea typeface="+mn-ea"/>
                        <a:cs typeface="+mn-cs"/>
                      </a:defRPr>
                    </a:pPr>
                    <a:r>
                      <a:rPr sz="900">
                        <a:gradFill>
                          <a:gsLst>
                            <a:gs pos="82000">
                              <a:srgbClr val="5A80A7">
                                <a:alpha val="100000"/>
                                <a:lumMod val="64000"/>
                              </a:srgbClr>
                            </a:gs>
                            <a:gs pos="0">
                              <a:srgbClr val="91AAC4"/>
                            </a:gs>
                            <a:gs pos="100000">
                              <a:srgbClr val="235589"/>
                            </a:gs>
                          </a:gsLst>
                          <a:lin ang="5400000" scaled="1"/>
                        </a:gradFill>
                      </a:rPr>
                      <a:t>发布376条占比23%</a:t>
                    </a:r>
                    <a:endParaRPr sz="900">
                      <a:gradFill>
                        <a:gsLst>
                          <a:gs pos="82000">
                            <a:srgbClr val="5A80A7">
                              <a:alpha val="100000"/>
                              <a:lumMod val="64000"/>
                            </a:srgbClr>
                          </a:gs>
                          <a:gs pos="0">
                            <a:srgbClr val="91AAC4"/>
                          </a:gs>
                          <a:gs pos="100000">
                            <a:srgbClr val="235589"/>
                          </a:gs>
                        </a:gsLst>
                        <a:lin ang="5400000" scaled="1"/>
                      </a:gradFill>
                    </a:endParaRPr>
                  </a:p>
                </c:rich>
              </c:tx>
              <c:numFmt formatCode="General" sourceLinked="1"/>
              <c:spPr>
                <a:solidFill>
                  <a:srgbClr val="4472C4">
                    <a:lumMod val="20000"/>
                    <a:lumOff val="80000"/>
                  </a:srgbClr>
                </a:solidFill>
                <a:ln>
                  <a:noFill/>
                </a:ln>
                <a:effectLst>
                  <a:outerShdw blurRad="50800" dist="38100" algn="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0" vertOverflow="ellipsis" vert="horz" wrap="square" lIns="38100" tIns="19050" rIns="38100" bIns="19050" anchor="ctr" anchorCtr="1" forceAA="0"/>
                <a:lstStyle/>
                <a:p>
                  <a:pPr>
                    <a:defRPr lang="zh-CN" sz="1000" b="1" i="0" u="none" strike="noStrike" kern="1200" baseline="0">
                      <a:gradFill>
                        <a:gsLst>
                          <a:gs pos="82000">
                            <a:srgbClr val="5A80A7">
                              <a:alpha val="100000"/>
                              <a:lumMod val="64000"/>
                            </a:srgbClr>
                          </a:gs>
                          <a:gs pos="0">
                            <a:srgbClr val="91AAC4"/>
                          </a:gs>
                          <a:gs pos="100000">
                            <a:srgbClr val="235589"/>
                          </a:gs>
                        </a:gsLst>
                        <a:lin ang="5400000" scaled="1"/>
                      </a:gradFill>
                      <a:latin typeface="+mn-lt"/>
                      <a:ea typeface="+mn-ea"/>
                      <a:cs typeface="+mn-cs"/>
                    </a:defRPr>
                  </a:pPr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68325690638631"/>
                      <c:h val="0.121354504212573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-0.067106587630019"/>
                  <c:y val="0.0226620776112405"/>
                </c:manualLayout>
              </c:layout>
              <c:tx>
                <c:rich>
                  <a:bodyPr rot="0" spcFirstLastPara="0" vertOverflow="ellipsis" vert="horz" wrap="square" lIns="38100" tIns="19050" rIns="38100" bIns="19050" anchor="ctr" anchorCtr="1" forceAA="0"/>
                  <a:lstStyle/>
                  <a:p>
                    <a:pPr defTabSz="914400">
                      <a:defRPr lang="zh-CN" sz="1000" b="1" i="0" u="none" strike="noStrike" kern="1200" baseline="0">
                        <a:gradFill>
                          <a:gsLst>
                            <a:gs pos="0">
                              <a:schemeClr val="accent6">
                                <a:lumMod val="75000"/>
                              </a:schemeClr>
                            </a:gs>
                            <a:gs pos="100000">
                              <a:srgbClr val="034373"/>
                            </a:gs>
                          </a:gsLst>
                          <a:lin ang="5400000" scaled="0"/>
                        </a:gradFill>
                        <a:latin typeface="+mn-lt"/>
                        <a:ea typeface="+mn-ea"/>
                        <a:cs typeface="+mn-cs"/>
                      </a:defRPr>
                    </a:pPr>
                    <a:r>
                      <a:rPr>
                        <a:gradFill>
                          <a:gsLst>
                            <a:gs pos="0">
                              <a:schemeClr val="accent6">
                                <a:lumMod val="75000"/>
                              </a:schemeClr>
                            </a:gs>
                            <a:gs pos="100000">
                              <a:srgbClr val="034373"/>
                            </a:gs>
                          </a:gsLst>
                          <a:lin ang="5400000" scaled="0"/>
                        </a:gradFill>
                      </a:rPr>
                      <a:t>政务新媒体平台</a:t>
                    </a:r>
                    <a:endParaRPr>
                      <a:gradFill>
                        <a:gsLst>
                          <a:gs pos="0">
                            <a:schemeClr val="accent6">
                              <a:lumMod val="75000"/>
                            </a:schemeClr>
                          </a:gs>
                          <a:gs pos="100000">
                            <a:srgbClr val="034373"/>
                          </a:gs>
                        </a:gsLst>
                        <a:lin ang="5400000" scaled="0"/>
                      </a:gradFill>
                    </a:endParaRPr>
                  </a:p>
                  <a:p>
                    <a:pPr defTabSz="914400">
                      <a:defRPr lang="zh-CN" sz="1000" b="1" i="0" u="none" strike="noStrike" kern="1200" baseline="0">
                        <a:gradFill>
                          <a:gsLst>
                            <a:gs pos="0">
                              <a:schemeClr val="accent6">
                                <a:lumMod val="75000"/>
                              </a:schemeClr>
                            </a:gs>
                            <a:gs pos="100000">
                              <a:srgbClr val="034373"/>
                            </a:gs>
                          </a:gsLst>
                          <a:lin ang="5400000" scaled="0"/>
                        </a:gradFill>
                        <a:latin typeface="+mn-lt"/>
                        <a:ea typeface="+mn-ea"/>
                        <a:cs typeface="+mn-cs"/>
                      </a:defRPr>
                    </a:pPr>
                    <a:r>
                      <a:rPr sz="900">
                        <a:gradFill>
                          <a:gsLst>
                            <a:gs pos="0">
                              <a:schemeClr val="accent6">
                                <a:lumMod val="75000"/>
                              </a:schemeClr>
                            </a:gs>
                            <a:gs pos="100000">
                              <a:srgbClr val="034373"/>
                            </a:gs>
                          </a:gsLst>
                          <a:lin ang="5400000" scaled="0"/>
                        </a:gradFill>
                      </a:rPr>
                      <a:t>发布</a:t>
                    </a:r>
                    <a:r>
                      <a:rPr lang="en-US" altLang="zh-CN" sz="900">
                        <a:gradFill>
                          <a:gsLst>
                            <a:gs pos="0">
                              <a:schemeClr val="accent6">
                                <a:lumMod val="75000"/>
                              </a:schemeClr>
                            </a:gs>
                            <a:gs pos="100000">
                              <a:srgbClr val="034373"/>
                            </a:gs>
                          </a:gsLst>
                          <a:lin ang="5400000" scaled="0"/>
                        </a:gradFill>
                      </a:rPr>
                      <a:t>729</a:t>
                    </a:r>
                    <a:r>
                      <a:rPr altLang="en-US" sz="900">
                        <a:gradFill>
                          <a:gsLst>
                            <a:gs pos="0">
                              <a:schemeClr val="accent6">
                                <a:lumMod val="75000"/>
                              </a:schemeClr>
                            </a:gs>
                            <a:gs pos="100000">
                              <a:srgbClr val="034373"/>
                            </a:gs>
                          </a:gsLst>
                          <a:lin ang="5400000" scaled="0"/>
                        </a:gradFill>
                      </a:rPr>
                      <a:t>条</a:t>
                    </a:r>
                    <a:endParaRPr altLang="en-US" sz="900">
                      <a:gradFill>
                        <a:gsLst>
                          <a:gs pos="0">
                            <a:schemeClr val="accent6">
                              <a:lumMod val="75000"/>
                            </a:schemeClr>
                          </a:gs>
                          <a:gs pos="100000">
                            <a:srgbClr val="034373"/>
                          </a:gs>
                        </a:gsLst>
                        <a:lin ang="5400000" scaled="0"/>
                      </a:gradFill>
                    </a:endParaRPr>
                  </a:p>
                  <a:p>
                    <a:pPr defTabSz="914400">
                      <a:defRPr lang="zh-CN" sz="1000" b="1" i="0" u="none" strike="noStrike" kern="1200" baseline="0">
                        <a:gradFill>
                          <a:gsLst>
                            <a:gs pos="0">
                              <a:schemeClr val="accent6">
                                <a:lumMod val="75000"/>
                              </a:schemeClr>
                            </a:gs>
                            <a:gs pos="100000">
                              <a:srgbClr val="034373"/>
                            </a:gs>
                          </a:gsLst>
                          <a:lin ang="5400000" scaled="0"/>
                        </a:gradFill>
                        <a:latin typeface="+mn-lt"/>
                        <a:ea typeface="+mn-ea"/>
                        <a:cs typeface="+mn-cs"/>
                      </a:defRPr>
                    </a:pPr>
                    <a:r>
                      <a:rPr altLang="en-US" sz="900" u="heavy">
                        <a:gradFill>
                          <a:gsLst>
                            <a:gs pos="0">
                              <a:schemeClr val="accent6">
                                <a:lumMod val="75000"/>
                              </a:schemeClr>
                            </a:gs>
                            <a:gs pos="100000">
                              <a:srgbClr val="034373"/>
                            </a:gs>
                          </a:gsLst>
                          <a:lin ang="5400000" scaled="0"/>
                        </a:gradFill>
                      </a:rPr>
                      <a:t>占比</a:t>
                    </a:r>
                    <a:r>
                      <a:rPr sz="900">
                        <a:gradFill>
                          <a:gsLst>
                            <a:gs pos="0">
                              <a:schemeClr val="accent6">
                                <a:lumMod val="75000"/>
                              </a:schemeClr>
                            </a:gs>
                            <a:gs pos="100000">
                              <a:srgbClr val="034373"/>
                            </a:gs>
                          </a:gsLst>
                          <a:lin ang="5400000" scaled="0"/>
                        </a:gradFill>
                      </a:rPr>
                      <a:t>44%</a:t>
                    </a:r>
                    <a:endParaRPr sz="900">
                      <a:gradFill>
                        <a:gsLst>
                          <a:gs pos="0">
                            <a:schemeClr val="accent6">
                              <a:lumMod val="75000"/>
                            </a:schemeClr>
                          </a:gs>
                          <a:gs pos="100000">
                            <a:srgbClr val="034373"/>
                          </a:gs>
                        </a:gsLst>
                        <a:lin ang="5400000" scaled="0"/>
                      </a:gradFill>
                    </a:endParaRPr>
                  </a:p>
                </c:rich>
              </c:tx>
              <c:numFmt formatCode="General" sourceLinked="1"/>
              <c:spPr>
                <a:gradFill>
                  <a:gsLst>
                    <a:gs pos="50000">
                      <a:srgbClr val="C0D2BC"/>
                    </a:gs>
                    <a:gs pos="0">
                      <a:srgbClr val="D5E1D2"/>
                    </a:gs>
                    <a:gs pos="100000">
                      <a:srgbClr val="AAC2A5"/>
                    </a:gs>
                  </a:gsLst>
                  <a:lin ang="5400000" scaled="1"/>
                </a:gradFill>
                <a:ln>
                  <a:noFill/>
                </a:ln>
                <a:effectLst>
                  <a:outerShdw blurRad="50800" dist="38100" algn="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0" vertOverflow="ellipsis" vert="horz" wrap="square" lIns="38100" tIns="19050" rIns="38100" bIns="19050" anchor="ctr" anchorCtr="1" forceAA="0"/>
                <a:lstStyle/>
                <a:p>
                  <a:pPr>
                    <a:defRPr lang="zh-CN" sz="1000" b="1" i="0" u="none" strike="noStrike" kern="1200" baseline="0">
                      <a:gradFill>
                        <a:gsLst>
                          <a:gs pos="0">
                            <a:schemeClr val="accent6">
                              <a:lumMod val="75000"/>
                            </a:schemeClr>
                          </a:gs>
                          <a:gs pos="100000">
                            <a:srgbClr val="034373"/>
                          </a:gs>
                        </a:gsLst>
                        <a:lin ang="5400000" scaled="0"/>
                      </a:gradFill>
                      <a:latin typeface="+mn-lt"/>
                      <a:ea typeface="+mn-ea"/>
                      <a:cs typeface="+mn-cs"/>
                    </a:defRPr>
                  </a:pPr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91589307683704"/>
                      <c:h val="0.121354504212573"/>
                    </c:manualLayout>
                  </c15:layout>
                </c:ext>
              </c:extLst>
            </c:dLbl>
            <c:dLbl>
              <c:idx val="2"/>
              <c:layout>
                <c:manualLayout>
                  <c:x val="0"/>
                  <c:y val="-0.0356448476992871"/>
                </c:manualLayout>
              </c:layout>
              <c:tx>
                <c:rich>
                  <a:bodyPr rot="0" spcFirstLastPara="0" vertOverflow="ellipsis" vert="horz" wrap="square" lIns="38100" tIns="19050" rIns="38100" bIns="19050" anchor="ctr" anchorCtr="1" forceAA="0"/>
                  <a:lstStyle/>
                  <a:p>
                    <a:pPr defTabSz="914400">
                      <a:defRPr lang="zh-CN" sz="1000" b="1" i="0" u="none" strike="noStrike" kern="1200" baseline="0">
                        <a:gradFill>
                          <a:gsLst>
                            <a:gs pos="0">
                              <a:srgbClr val="007BD3"/>
                            </a:gs>
                            <a:gs pos="100000">
                              <a:srgbClr val="034373"/>
                            </a:gs>
                          </a:gsLst>
                          <a:lin ang="5400000" scaled="0"/>
                        </a:gradFill>
                        <a:latin typeface="+mn-lt"/>
                        <a:ea typeface="+mn-ea"/>
                        <a:cs typeface="+mn-cs"/>
                      </a:defRPr>
                    </a:pPr>
                    <a:r>
                      <a:t>局门户网站</a:t>
                    </a:r>
                  </a:p>
                  <a:p>
                    <a:pPr defTabSz="914400">
                      <a:defRPr lang="zh-CN" sz="1000" b="1" i="0" u="none" strike="noStrike" kern="1200" baseline="0">
                        <a:gradFill>
                          <a:gsLst>
                            <a:gs pos="0">
                              <a:srgbClr val="007BD3"/>
                            </a:gs>
                            <a:gs pos="100000">
                              <a:srgbClr val="034373"/>
                            </a:gs>
                          </a:gsLst>
                          <a:lin ang="5400000" scaled="0"/>
                        </a:gradFill>
                        <a:latin typeface="+mn-lt"/>
                        <a:ea typeface="+mn-ea"/>
                        <a:cs typeface="+mn-cs"/>
                      </a:defRPr>
                    </a:pPr>
                    <a:r>
                      <a:rPr sz="900"/>
                      <a:t>发布544条占比33%</a:t>
                    </a:r>
                    <a:endParaRPr sz="900"/>
                  </a:p>
                </c:rich>
              </c:tx>
              <c:numFmt formatCode="General" sourceLinked="1"/>
              <c:spPr>
                <a:solidFill>
                  <a:srgbClr val="5B9BD5">
                    <a:lumMod val="60000"/>
                    <a:lumOff val="40000"/>
                  </a:srgbClr>
                </a:solidFill>
                <a:ln>
                  <a:noFill/>
                </a:ln>
                <a:effectLst>
                  <a:outerShdw blurRad="50800" dist="38100" algn="l" rotWithShape="0">
                    <a:prstClr val="black">
                      <a:alpha val="40000"/>
                    </a:prstClr>
                  </a:outerShdw>
                </a:effectLst>
              </c:spPr>
              <c:txPr>
                <a:bodyPr rot="0" spcFirstLastPara="0" vertOverflow="ellipsis" vert="horz" wrap="square" lIns="38100" tIns="19050" rIns="38100" bIns="19050" anchor="ctr" anchorCtr="1" forceAA="0"/>
                <a:lstStyle/>
                <a:p>
                  <a:pPr>
                    <a:defRPr lang="zh-CN" sz="1000" b="1" i="0" u="none" strike="noStrike" kern="1200" baseline="0">
                      <a:gradFill>
                        <a:gsLst>
                          <a:gs pos="0">
                            <a:srgbClr val="007BD3"/>
                          </a:gs>
                          <a:gs pos="100000">
                            <a:srgbClr val="034373"/>
                          </a:gs>
                        </a:gsLst>
                        <a:lin ang="5400000" scaled="0"/>
                      </a:gradFill>
                      <a:latin typeface="+mn-lt"/>
                      <a:ea typeface="+mn-ea"/>
                      <a:cs typeface="+mn-cs"/>
                    </a:defRPr>
                  </a:pPr>
                </a:p>
              </c:txPr>
              <c:dLblPos val="bestFit"/>
              <c:showLegendKey val="0"/>
              <c:showVal val="1"/>
              <c:showCatName val="1"/>
              <c:showSerName val="0"/>
              <c:showPercent val="1"/>
              <c:showBubbleSize val="0"/>
              <c:separator>
</c:separator>
              <c:extLst>
                <c:ext xmlns:c15="http://schemas.microsoft.com/office/drawing/2012/chart" uri="{CE6537A1-D6FC-4f65-9D91-7224C49458BB}">
                  <c15:layout>
                    <c:manualLayout>
                      <c:w val="0.160608433061179"/>
                      <c:h val="0.130751782242385"/>
                    </c:manualLayout>
                  </c15:layout>
                </c:ext>
              </c:extLst>
            </c:dLbl>
            <c:numFmt formatCode="General" sourceLinked="1"/>
            <c:spPr>
              <a:solidFill>
                <a:schemeClr val="bg1"/>
              </a:solidFill>
              <a:ln>
                <a:noFill/>
              </a:ln>
              <a:effectLst>
                <a:outerShdw blurRad="50800" dist="38100" algn="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0" vertOverflow="ellipsis" vert="horz" wrap="square" lIns="38100" tIns="19050" rIns="38100" bIns="19050" anchor="ctr" anchorCtr="1" forceAA="0"/>
              <a:lstStyle/>
              <a:p>
                <a:pPr>
                  <a:defRPr lang="zh-CN" sz="1000" b="1" i="0" u="none" strike="noStrike" kern="1200" baseline="0">
                    <a:solidFill>
                      <a:srgbClr val="00B050"/>
                    </a:solidFill>
                    <a:latin typeface="+mn-lt"/>
                    <a:ea typeface="+mn-ea"/>
                    <a:cs typeface="+mn-cs"/>
                  </a:defRPr>
                </a:pPr>
              </a:p>
            </c:txPr>
            <c:dLblPos val="outEnd"/>
            <c:showLegendKey val="0"/>
            <c:showVal val="1"/>
            <c:showCatName val="1"/>
            <c:showSerName val="0"/>
            <c:showPercent val="1"/>
            <c:showBubbleSize val="0"/>
            <c:separator>
</c:separator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oundRect">
                    <a:avLst/>
                  </a:prstGeom>
                  <a:noFill/>
                  <a:ln>
                    <a:noFill/>
                  </a:ln>
                </c15:spPr>
                <c15:layout/>
                <c15:showLeaderLines val="0"/>
                <c15:leaderLines/>
              </c:ext>
            </c:extLst>
          </c:dLbls>
          <c:cat>
            <c:strRef>
              <c:f>Sheet1!$A$2:$A$4</c:f>
              <c:strCache>
                <c:ptCount val="3"/>
                <c:pt idx="0">
                  <c:v>政务公开平台</c:v>
                </c:pt>
                <c:pt idx="1">
                  <c:v>政务新媒体平台</c:v>
                </c:pt>
                <c:pt idx="2">
                  <c:v>局门户网站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376</c:v>
                </c:pt>
                <c:pt idx="1">
                  <c:v>729</c:v>
                </c:pt>
                <c:pt idx="2">
                  <c:v>544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>
      <a:outerShdw blurRad="63500" dist="37357" dir="2700000" sx="0" sy="0" rotWithShape="0">
        <a:scrgbClr r="0" g="0" b="0"/>
      </a:outerShdw>
    </a:effectLst>
  </c:spPr>
  <c:txPr>
    <a:bodyPr/>
    <a:lstStyle/>
    <a:p>
      <a:pPr>
        <a:defRPr lang="zh-CN" b="1"/>
      </a:pPr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word/theme/themeOverride1.xml><?xml version="1.0" encoding="utf-8"?>
<a:themeOverride xmlns:a="http://schemas.openxmlformats.org/drawingml/2006/main">
  <a:clrScheme name="【4】">
    <a:dk1>
      <a:srgbClr val="000000"/>
    </a:dk1>
    <a:lt1>
      <a:srgbClr val="FFFFFF"/>
    </a:lt1>
    <a:dk2>
      <a:srgbClr val="0C0E1F"/>
    </a:dk2>
    <a:lt2>
      <a:srgbClr val="FEFFFF"/>
    </a:lt2>
    <a:accent1>
      <a:srgbClr val="FEB348"/>
    </a:accent1>
    <a:accent2>
      <a:srgbClr val="FE7B48"/>
    </a:accent2>
    <a:accent3>
      <a:srgbClr val="5FB6FF"/>
    </a:accent3>
    <a:accent4>
      <a:srgbClr val="3787FF"/>
    </a:accent4>
    <a:accent5>
      <a:srgbClr val="4165FF"/>
    </a:accent5>
    <a:accent6>
      <a:srgbClr val="48C8AC"/>
    </a:accent6>
    <a:hlink>
      <a:srgbClr val="304FFE"/>
    </a:hlink>
    <a:folHlink>
      <a:srgbClr val="492067"/>
    </a:folHlink>
  </a:clrScheme>
  <a:fontScheme name="自定义 2">
    <a:majorFont>
      <a:latin typeface="微软雅黑"/>
      <a:ea typeface="微软雅黑"/>
      <a:cs typeface=""/>
    </a:majorFont>
    <a:minorFont>
      <a:latin typeface="微软雅黑"/>
      <a:ea typeface="微软雅黑"/>
      <a:cs typeface="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webExtensions/_rels/webExtension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.png"/><Relationship Id="rId1" Type="http://schemas.openxmlformats.org/officeDocument/2006/relationships/package" Target="../embeddings/Workbook2.xlsx"/></Relationships>
</file>

<file path=word/webExtensions/webExtension1.xml><?xml version="1.0" encoding="utf-8"?>
<wpswe:webExtension xmlns:wpswe="http://www.wps.cn/officeDocument/2018/webExtension">
  <wpswe:extSource id="dschart" version="1.0"/>
  <wpswe:properties>
    <wpswe:property key="DiscardFirstCodeChange" value="0"/>
    <wpswe:property key="autoSnapshot" value="0"/>
    <wpswe:property key="dschart" value="{&quot;dschart_data&quot;:{&quot;blockId&quot;:&quot;160708166709743559&quot;,&quot;chart_type&quot;:&quot;柱状图&quot;,&quot;classifty_type&quot;:[&quot;比较类&quot;],&quot;dataSrc&quot;:{&quot;data&quot;:[[[&quot;年度&quot;,&quot;政府信息公开申请数量&quot;],[&quot;2019年&quot;,&quot;8件&quot;],[&quot;2020年&quot;,&quot;26件&quot;],[&quot;2021年&quot;,&quot;17件&quot;],[&quot;2022年&quot;,&quot;15件&quot;],[&quot;2023年&quot;,&quot;11件&quot;]]],&quot;dataType&quot;:&quot;obejct-table&quot;,&quot;download&quot;:false,&quot;srcType&quot;:&quot;local&quot;,&quot;url&quot;:&quot;&quot;},&quot;function_type&quot;:[&quot;柱形图&quot;],&quot;gif&quot;:&quot;//web.docer.wpscdn.cn/docer/ds-page/images/444734748594536323.gif?imageView2/2/w/500/quality/90&quot;,&quot;index&quot;:4,&quot;isFree&quot;:&quot;0&quot;,&quot;label&quot;:&quot;&lt;e-barbasic-chart&gt;&quot;,&quot;projectId&quot;:&quot;160732933154413062&quot;,&quot;props&quot;:{&quot;animation&quot;:{&quot;duration&quot;:&quot;2&quot;,&quot;easeStyle&quot;:&quot;&quot;,&quot;endPause&quot;:&quot;1&quot;,&quot;moveOptions&quot;:[&quot;纵向同步拉伸&quot;,&quot;纵向依次拉伸&quot;,&quot;横向同步展开&quot;,&quot;横向依次展开&quot;],&quot;moveStyle&quot;:&quot;纵向同步拉伸&quot;,&quot;startDelay&quot;:&quot;0&quot;,&quot;transition&quot;:true},&quot;axis&quot;:{&quot;color&quot;:&quot;#a1a1a1&quot;,&quot;grid&quot;:{&quot;color&quot;:&quot;#ccc&quot;,&quot;gridLineWidth&quot;:&quot;1&quot;,&quot;lineStyle&quot;:&quot;dashline&quot;,&quot;show&quot;:&quot;none&quot;},&quot;x&quot;:{&quot;axisColor&quot;:&quot;#bfbfbf&quot;,&quot;axisLineWidth&quot;:&quot;1&quot;,&quot;axisShow&quot;:true,&quot;labelAngle&quot;:&quot;0&quot;,&quot;labelDirection&quot;:&quot;自动&quot;,&quot;labelDirectionOptions&quot;:[&quot;自动&quot;,&quot;横排&quot;,&quot;竖排&quot;],&quot;labelShow&quot;:true,&quot;name&quot;:&quot;&quot;},&quot;y&quot;:{&quot;axisColor&quot;:&quot;#bfbfbf&quot;,&quot;axisLineWidth&quot;:&quot;1&quot;,&quot;axisShow&quot;:true,&quot;labelShow&quot;:true,&quot;labelSuffix&quot;:&quot;&quot;,&quot;name&quot;:&quot;&quot;,&quot;range&quot;:[],&quot;stepOfLabel&quot;:&quot;&quot;}},&quot;backgroundColor&quot;:&quot;&quot;,&quot;colors&quot;:{&quot;colorControlers&quot;:[&quot;single&quot;,&quot;multiple&quot;,&quot;linear&quot;],&quot;list&quot;:[&quot;#a8dffaff&quot;,&quot;#5b6e96ff&quot;,&quot;#4a6fe2ff&quot;,&quot;#6d9ae7ff&quot;,&quot;#5aaef3ff&quot;],&quot;type&quot;:&quot;multiple&quot;},&quot;display&quot;:{&quot;bar4CornerRadius&quot;:[18,18,18,18],&quot;barWidthPercent&quot;:&quot;0.5&quot;,&quot;borderColor&quot;:&quot;&quot;,&quot;borderWidth&quot;:&quot;0&quot;,&quot;fillOpacity&quot;:&quot;1&quot;},&quot;font&quot;:{&quot;color&quot;:&quot;#333333ff&quot;,&quot;fontFamily&quot;:&quot;微软雅黑&quot;,&quot;fontSize&quot;:16},&quot;label&quot;:{&quot;display&quot;:true,&quot;positionChoice&quot;:&quot;上面&quot;,&quot;positionOptions&quot;:[&quot;上面&quot;,&quot;内部居下&quot;],&quot;suffix&quot;:&quot;&quot;,&quot;textLabel&quot;:{&quot;color&quot;:&quot;#333333ff&quot;,&quot;fontFamily&quot;:&quot;微软雅黑&quot;,&quot;fontSize&quot;:16}},&quot;legend&quot;:{&quot;color&quot;:[&quot;#545454&quot;],&quot;fontFamily&quot;:&quot;微软雅黑&quot;,&quot;fontSize&quot;:&quot;14&quot;,&quot;lineHeight&quot;:&quot;15&quot;,&quot;show&quot;:true,&quot;style&quot;:&quot;&quot;,&quot;styleOptions&quot;:[],&quot;xPosition&quot;:&quot;center&quot;,&quot;yPosition&quot;:&quot;bottom&quot;},&quot;logoDisplay&quot;:{&quot;bottomLineHeight&quot;:&quot;15&quot;,&quot;imgHeight&quot;:&quot;32&quot;,&quot;imgUrl&quot;:&quot;https://ss1.dycharts.com/newchartLogo.png&quot;,&quot;show&quot;:false,&quot;topLineHeight&quot;:&quot;11&quot;},&quot;map&quot;:[[{&quot;allowType&quot;:[&quot;string&quot;],&quot;configurable&quot;:false,&quot;function&quot;:&quot;objCol&quot;,&quot;index&quot;:0,&quot;isLegend&quot;:true,&quot;name&quot;:&quot;名称&quot;},{&quot;allowType&quot;:[&quot;number&quot;],&quot;configurable&quot;:false,&quot;function&quot;:&quot;vCol&quot;,&quot;index&quot;:1,&quot;isLegend&quot;:false,&quot;name&quot;:&quot;值&quot;}]],&quot;paddings&quot;:{&quot;bottom&quot;:&quot;23&quot;,&quot;chartBottom&quot;:&quot;5&quot;,&quot;left&quot;:&quot;24&quot;,&quot;right&quot;:&quot;24&quot;,&quot;top&quot;:&quot;20&quot;},&quot;publishDisplay&quot;:{&quot;color&quot;:&quot;#878787&quot;,&quot;fontFamily&quot;:&quot;阿里巴巴普惠体 常规&quot;,&quot;fontSize&quot;:&quot;14&quot;,&quot;show&quot;:false,&quot;text&quot;:&quot;镝数出品&quot;},&quot;shadow&quot;:{&quot;display&quot;:false,&quot;shadowAngle&quot;:&quot;45&quot;,&quot;shadowBlur&quot;:&quot;5&quot;,&quot;shadowColor&quot;:&quot;#c6c6c6&quot;,&quot;shadowOpacity&quot;:&quot;100&quot;,&quot;shadowRadius&quot;:&quot;3&quot;},&quot;size&quot;:{&quot;height&quot;:312,&quot;ratio&quot;:&quot;&quot;,&quot;rotate&quot;:0,&quot;width&quot;:587},&quot;sourceDisplay&quot;:{&quot;color&quot;:&quot;#878787&quot;,&quot;fontFamily&quot;:&quot;阿里巴巴普惠体 常规&quot;,&quot;fontSize&quot;:&quot;14&quot;,&quot;show&quot;:false,&quot;text&quot;:&quot;数据来源：示例数据&quot;,&quot;topLineHeight&quot;:&quot;15&quot;,&quot;xPosition&quot;:&quot;left&quot;,&quot;yPosition&quot;:&quot;bottom&quot;},&quot;titleDisplay&quot;:{&quot;color&quot;:&quot;#4c4c4c&quot;,&quot;fontFamily&quot;:&quot;微软雅黑&quot;,&quot;fontSize&quot;:&quot;17&quot;,&quot;lineHeight&quot;:&quot;10&quot;,&quot;show&quot;:true,&quot;text&quot;:&quot;政府信息公开申请数量&quot;,&quot;totalHeight&quot;:&quot;39&quot;,&quot;xPosition&quot;:&quot;center&quot;,&quot;yPosition&quot;:&quot;top&quot;},&quot;tooltip&quot;:true,&quot;unitDisplay&quot;:{&quot;bottomLineHeight&quot;:&quot;15&quot;,&quot;color&quot;:&quot;#878787&quot;,&quot;fontFamily&quot;:&quot;微软雅黑&quot;,&quot;fontSize&quot;:&quot;14&quot;,&quot;show&quot;:false,&quot;text&quot;:&quot;单位：万元&quot;,&quot;xPosition&quot;:&quot;left&quot;,&quot;yPosition&quot;:&quot;top&quot;},&quot;watermarkDisplay&quot;:{&quot;imgHeight&quot;:&quot;80&quot;,&quot;imgUrl&quot;:&quot;https://ss1.dycharts.com/newchartWatermark.png&quot;,&quot;imgWidth&quot;:&quot;80&quot;,&quot;show&quot;:false}},&quot;templateId&quot;:&quot;444734748594536323-2&quot;,&quot;templateSwitch&quot;:&quot;key-value&quot;,&quot;theme&quot;:{&quot;_id&quot;:18,&quot;axis&quot;:{&quot;color&quot;:&quot;#a1a1a1 &quot;},&quot;backgroundColor&quot;:&quot;#FFFFFF&quot;,&quot;colors&quot;:[&quot;#5AAEF3&quot;,&quot;#62D9AD&quot;,&quot;#5B6E96&quot;,&quot;#a8dffa&quot;,&quot;#ffdc4c&quot;,&quot;#FF974C&quot;,&quot;#E65A56&quot;,&quot;#6D61E4&quot;,&quot;#4A6FE2&quot;,&quot;#6D9AE7&quot;,&quot;#23C2DB&quot;,&quot;#D4EC59&quot;,&quot;#FFE88E&quot;,&quot;#FEB64D&quot;,&quot;#FB6E6C&quot;],&quot;fonts&quot;:{&quot;accessoryColor&quot;:&quot;#878787&quot;,&quot;color&quot;:&quot;#545454&quot;,&quot;fontFamily&quot;:&quot;阿里巴巴普惠体 常规&quot;,&quot;fontSize&quot;:&quot;14&quot;},&quot;grid&quot;:{&quot;color&quot;:&quot;#cccccc&quot;},&quot;id&quot;:&quot;17&quot;,&quot;name&quot;:&quot;默认主题&quot;,&quot;price&quot;:&quot;0.0&quot;,&quot;shapeColor&quot;:1,&quot;themeId&quot;:&quot;18&quot;,&quot;thumb&quot;:&quot;https://ss1.dydata.io/v2/themes/17.png&quot;,&quot;titleFont&quot;:{&quot;color&quot;:&quot;#4c4c4c&quot;,&quot;fontFamily&quot;:&quot;阿里巴巴普惠体 常规&quot;,&quot;fontSize&quot;:&quot;18&quot;}},&quot;thumb&quot;:&quot;//web.docer.wpscdn.cn/docer/ds-page/images/444734748594536323-2.png&quot;,&quot;title&quot;:&quot;基础柱状图&quot;,&quot;type&quot;:&quot;chart&quot;},&quot;dschart_id&quot;:&quot;444734748594536323-2&quot;,&quot;flag&quot;:&quot;1003&quot;,&quot;id&quot;:&quot;40&quot;}"/>
    <wpswe:property key="isUseCommonErrorPage" value="false"/>
    <wpswe:property key="loadingImage" value="res:/icons/DsWebShapeDefaultPage.svg"/>
  </wpswe:properties>
  <wpswe:watchingCache>
    <wpswe:linkPath>C:/Users/Rowi/AppData/Local/Temp/wps.JPmfSJ/Workbook2.xlsx</wpswe:linkPath>
  </wpswe:watchingCache>
  <wpswe:snapshot xmlns:r="http://schemas.openxmlformats.org/officeDocument/2006/relationships" r:embed="rId2"/>
  <wpswe:externalData xmlns:r="http://schemas.openxmlformats.org/officeDocument/2006/relationships" r:id="rId1"/>
  <wpswe:url>https://clientweb.docer.wps.cn/ds/1.0.0/webShapeView?id=40&amp;dschart_id=444734748594536323&amp;from=chartwins&amp;productEntry=insert&amp;sceneEntry=rec&amp;flag=1003</wpswe:url>
  <wpswe:constantSnapshot>false</wpswe:constantSnapshot>
</wps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3162</Words>
  <Characters>3288</Characters>
  <Lines>0</Lines>
  <Paragraphs>0</Paragraphs>
  <TotalTime>2</TotalTime>
  <ScaleCrop>false</ScaleCrop>
  <LinksUpToDate>false</LinksUpToDate>
  <CharactersWithSpaces>3288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2022-01-12T00:37:00Z</dcterms:created>
  <dc:creator>Administrator</dc:creator>
  <cp:lastModifiedBy>Rowi</cp:lastModifiedBy>
  <cp:lastPrinted>2022-01-20T08:34:00Z</cp:lastPrinted>
  <dcterms:modified xsi:type="dcterms:W3CDTF">2024-02-26T02:46:14Z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34C7604D3EDF4C429457CF22D0BB464B_13</vt:lpwstr>
  </property>
</Properties>
</file>