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56" w:lineRule="exact"/>
        <w:ind w:right="0" w:rightChars="0"/>
        <w:jc w:val="center"/>
        <w:textAlignment w:val="auto"/>
        <w:rPr>
          <w:rFonts w:hint="eastAsia" w:ascii="方正小标宋简体" w:hAnsi="方正小标宋简体" w:eastAsia="方正小标宋简体" w:cs="方正小标宋简体"/>
          <w:color w:val="333333"/>
          <w:sz w:val="44"/>
          <w:szCs w:val="44"/>
          <w:shd w:val="clear" w:color="auto" w:fill="FFFFFF"/>
          <w:lang w:val="en-US"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56" w:lineRule="exact"/>
        <w:ind w:right="0" w:rightChars="0"/>
        <w:jc w:val="center"/>
        <w:textAlignment w:val="auto"/>
        <w:rPr>
          <w:rFonts w:hint="eastAsia" w:ascii="方正小标宋简体" w:hAnsi="方正小标宋简体" w:eastAsia="方正小标宋简体" w:cs="方正小标宋简体"/>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lang w:val="en-US" w:eastAsia="zh-CN"/>
        </w:rPr>
        <w:t>聊城市人力资源和社会保障局</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56" w:lineRule="exact"/>
        <w:ind w:right="0" w:rightChars="0"/>
        <w:jc w:val="center"/>
        <w:textAlignment w:val="auto"/>
        <w:rPr>
          <w:rFonts w:ascii="宋体" w:hAnsi="宋体" w:eastAsia="宋体" w:cs="宋体"/>
          <w:color w:val="333333"/>
        </w:rPr>
      </w:pPr>
      <w:r>
        <w:rPr>
          <w:rFonts w:hint="eastAsia" w:ascii="方正小标宋简体" w:hAnsi="方正小标宋简体" w:eastAsia="方正小标宋简体" w:cs="方正小标宋简体"/>
          <w:color w:val="333333"/>
          <w:sz w:val="44"/>
          <w:szCs w:val="44"/>
          <w:shd w:val="clear" w:color="auto" w:fill="FFFFFF"/>
          <w:lang w:eastAsia="zh-CN"/>
        </w:rPr>
        <w:t>2020</w:t>
      </w:r>
      <w:r>
        <w:rPr>
          <w:rFonts w:hint="eastAsia" w:ascii="方正小标宋简体" w:hAnsi="方正小标宋简体" w:eastAsia="方正小标宋简体" w:cs="方正小标宋简体"/>
          <w:color w:val="333333"/>
          <w:sz w:val="44"/>
          <w:szCs w:val="44"/>
          <w:shd w:val="clear" w:color="auto" w:fill="FFFFFF"/>
        </w:rPr>
        <w:t>年政府信息公开工作年度报告</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56" w:lineRule="exact"/>
        <w:ind w:left="0" w:leftChars="0" w:right="0" w:rightChars="0" w:firstLine="480" w:firstLineChars="200"/>
        <w:jc w:val="both"/>
        <w:textAlignment w:val="auto"/>
        <w:rPr>
          <w:rFonts w:ascii="宋体" w:hAnsi="宋体" w:eastAsia="宋体" w:cs="宋体"/>
          <w:color w:val="333333"/>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56" w:lineRule="exact"/>
        <w:ind w:left="0" w:leftChars="0" w:right="0" w:rightChars="0" w:firstLine="640" w:firstLineChars="200"/>
        <w:jc w:val="both"/>
        <w:textAlignment w:val="auto"/>
        <w:rPr>
          <w:rFonts w:hint="default" w:ascii="仿宋_GB2312" w:hAnsi="宋体" w:eastAsia="仿宋_GB2312" w:cs="宋体"/>
          <w:color w:val="333333"/>
          <w:sz w:val="32"/>
          <w:szCs w:val="32"/>
          <w:shd w:val="clear" w:color="auto" w:fill="FFFFFF"/>
        </w:rPr>
      </w:pPr>
      <w:r>
        <w:rPr>
          <w:rFonts w:hint="default" w:ascii="仿宋_GB2312" w:hAnsi="宋体" w:eastAsia="仿宋_GB2312" w:cs="宋体"/>
          <w:color w:val="333333"/>
          <w:sz w:val="32"/>
          <w:szCs w:val="32"/>
          <w:shd w:val="clear" w:color="auto" w:fill="FFFFFF"/>
        </w:rPr>
        <w:t>本报告根据《中华人民共和国政府信息公开条例》(以下简称《条例》)、《山东省人民政府信息公开办法》（以下简称《办法》）要求，汇总聊城市</w:t>
      </w:r>
      <w:r>
        <w:rPr>
          <w:rFonts w:hint="eastAsia" w:ascii="仿宋_GB2312" w:hAnsi="宋体" w:eastAsia="仿宋_GB2312" w:cs="宋体"/>
          <w:color w:val="333333"/>
          <w:sz w:val="32"/>
          <w:szCs w:val="32"/>
          <w:shd w:val="clear" w:color="auto" w:fill="FFFFFF"/>
          <w:lang w:val="en-US" w:eastAsia="zh-CN"/>
        </w:rPr>
        <w:t>人力资源和社会保障局</w:t>
      </w:r>
      <w:r>
        <w:rPr>
          <w:rFonts w:hint="default" w:ascii="仿宋_GB2312" w:hAnsi="宋体" w:eastAsia="仿宋_GB2312" w:cs="宋体"/>
          <w:color w:val="333333"/>
          <w:sz w:val="32"/>
          <w:szCs w:val="32"/>
          <w:shd w:val="clear" w:color="auto" w:fill="FFFFFF"/>
        </w:rPr>
        <w:t>20</w:t>
      </w:r>
      <w:r>
        <w:rPr>
          <w:rFonts w:hint="eastAsia" w:ascii="仿宋_GB2312" w:hAnsi="宋体" w:eastAsia="仿宋_GB2312" w:cs="宋体"/>
          <w:color w:val="333333"/>
          <w:sz w:val="32"/>
          <w:szCs w:val="32"/>
          <w:shd w:val="clear" w:color="auto" w:fill="FFFFFF"/>
          <w:lang w:val="en-US" w:eastAsia="zh-CN"/>
        </w:rPr>
        <w:t>20</w:t>
      </w:r>
      <w:r>
        <w:rPr>
          <w:rFonts w:hint="default" w:ascii="仿宋_GB2312" w:hAnsi="宋体" w:eastAsia="仿宋_GB2312" w:cs="宋体"/>
          <w:color w:val="333333"/>
          <w:sz w:val="32"/>
          <w:szCs w:val="32"/>
          <w:shd w:val="clear" w:color="auto" w:fill="FFFFFF"/>
        </w:rPr>
        <w:t>年政府信息公开统计数据编制而成，并向社会公开发布。全文包</w:t>
      </w:r>
      <w:r>
        <w:rPr>
          <w:rFonts w:hint="eastAsia" w:ascii="仿宋_GB2312" w:hAnsi="宋体" w:eastAsia="仿宋_GB2312" w:cs="宋体"/>
          <w:color w:val="333333"/>
          <w:sz w:val="32"/>
          <w:szCs w:val="32"/>
          <w:shd w:val="clear" w:color="auto" w:fill="FFFFFF"/>
        </w:rPr>
        <w:t>括总体情况、行政机关主动公开政府信息情况、行政机关收到和处理政府信息公开申请情况、因政府信息公开工作被申请行政复议、提起行政诉讼情况，政府信息公开工作存在的主要问题及改进情况、其他需要报告的事项等。</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56" w:lineRule="exact"/>
        <w:ind w:left="0" w:leftChars="0" w:right="0" w:rightChars="0" w:firstLine="640" w:firstLineChars="200"/>
        <w:jc w:val="both"/>
        <w:textAlignment w:val="auto"/>
        <w:rPr>
          <w:rFonts w:hint="eastAsia"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rPr>
        <w:t>本报告中所列数据统计期限自20</w:t>
      </w:r>
      <w:r>
        <w:rPr>
          <w:rFonts w:hint="eastAsia" w:ascii="仿宋_GB2312" w:hAnsi="宋体" w:eastAsia="仿宋_GB2312" w:cs="宋体"/>
          <w:color w:val="333333"/>
          <w:sz w:val="32"/>
          <w:szCs w:val="32"/>
          <w:shd w:val="clear" w:color="auto" w:fill="FFFFFF"/>
          <w:lang w:val="en-US" w:eastAsia="zh-CN"/>
        </w:rPr>
        <w:t>20</w:t>
      </w:r>
      <w:r>
        <w:rPr>
          <w:rFonts w:hint="eastAsia" w:ascii="仿宋_GB2312" w:hAnsi="宋体" w:eastAsia="仿宋_GB2312" w:cs="宋体"/>
          <w:color w:val="333333"/>
          <w:sz w:val="32"/>
          <w:szCs w:val="32"/>
          <w:shd w:val="clear" w:color="auto" w:fill="FFFFFF"/>
        </w:rPr>
        <w:t>年1月1日起，至20</w:t>
      </w:r>
      <w:r>
        <w:rPr>
          <w:rFonts w:hint="eastAsia" w:ascii="仿宋_GB2312" w:hAnsi="宋体" w:eastAsia="仿宋_GB2312" w:cs="宋体"/>
          <w:color w:val="333333"/>
          <w:sz w:val="32"/>
          <w:szCs w:val="32"/>
          <w:shd w:val="clear" w:color="auto" w:fill="FFFFFF"/>
          <w:lang w:val="en-US" w:eastAsia="zh-CN"/>
        </w:rPr>
        <w:t>20</w:t>
      </w:r>
      <w:r>
        <w:rPr>
          <w:rFonts w:hint="eastAsia" w:ascii="仿宋_GB2312" w:hAnsi="宋体" w:eastAsia="仿宋_GB2312" w:cs="宋体"/>
          <w:color w:val="333333"/>
          <w:sz w:val="32"/>
          <w:szCs w:val="32"/>
          <w:shd w:val="clear" w:color="auto" w:fill="FFFFFF"/>
        </w:rPr>
        <w:t>年12月31日止。本年度报告可在“聊城市</w:t>
      </w:r>
      <w:r>
        <w:rPr>
          <w:rFonts w:hint="eastAsia" w:ascii="仿宋_GB2312" w:hAnsi="宋体" w:eastAsia="仿宋_GB2312" w:cs="宋体"/>
          <w:color w:val="333333"/>
          <w:sz w:val="32"/>
          <w:szCs w:val="32"/>
          <w:shd w:val="clear" w:color="auto" w:fill="FFFFFF"/>
          <w:lang w:val="en-US" w:eastAsia="zh-CN"/>
        </w:rPr>
        <w:t>人力资源和社会保障局</w:t>
      </w:r>
      <w:r>
        <w:rPr>
          <w:rFonts w:hint="eastAsia" w:ascii="仿宋_GB2312" w:hAnsi="宋体" w:eastAsia="仿宋_GB2312" w:cs="宋体"/>
          <w:color w:val="333333"/>
          <w:sz w:val="32"/>
          <w:szCs w:val="32"/>
          <w:shd w:val="clear" w:color="auto" w:fill="FFFFFF"/>
        </w:rPr>
        <w:t>”门户网站（http://rsj.liaocheng.gov.cn/）的政府信息公开专栏中查看和下载。</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56" w:lineRule="exact"/>
        <w:ind w:left="0" w:leftChars="0" w:right="0" w:rightChars="0"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一、总体情况</w:t>
      </w:r>
    </w:p>
    <w:p>
      <w:pPr>
        <w:keepNext w:val="0"/>
        <w:keepLines w:val="0"/>
        <w:pageBreakBefore w:val="0"/>
        <w:widowControl/>
        <w:suppressLineNumbers w:val="0"/>
        <w:kinsoku/>
        <w:wordWrap/>
        <w:overflowPunct/>
        <w:topLinePunct w:val="0"/>
        <w:autoSpaceDE/>
        <w:autoSpaceDN/>
        <w:bidi w:val="0"/>
        <w:adjustRightInd/>
        <w:snapToGrid/>
        <w:spacing w:line="65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宋体" w:eastAsia="仿宋_GB2312" w:cs="宋体"/>
          <w:color w:val="333333"/>
          <w:sz w:val="32"/>
          <w:szCs w:val="32"/>
          <w:shd w:val="clear" w:color="auto" w:fill="FFFFFF"/>
          <w:lang w:eastAsia="zh-CN"/>
        </w:rPr>
        <w:t>2020</w:t>
      </w:r>
      <w:r>
        <w:rPr>
          <w:rFonts w:hint="default" w:ascii="仿宋_GB2312" w:hAnsi="宋体" w:eastAsia="仿宋_GB2312" w:cs="宋体"/>
          <w:color w:val="333333"/>
          <w:sz w:val="32"/>
          <w:szCs w:val="32"/>
          <w:shd w:val="clear" w:color="auto" w:fill="FFFFFF"/>
        </w:rPr>
        <w:t>年，我局</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val="en-US" w:eastAsia="zh-CN"/>
        </w:rPr>
        <w:t>党的</w:t>
      </w:r>
      <w:bookmarkStart w:id="0" w:name="_GoBack"/>
      <w:bookmarkEnd w:id="0"/>
      <w:r>
        <w:rPr>
          <w:rFonts w:hint="eastAsia" w:ascii="仿宋_GB2312" w:hAnsi="仿宋_GB2312" w:eastAsia="仿宋_GB2312" w:cs="仿宋_GB2312"/>
          <w:color w:val="auto"/>
          <w:sz w:val="32"/>
          <w:szCs w:val="32"/>
        </w:rPr>
        <w:t>十九大和十九届二中、三中、四中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五中</w:t>
      </w:r>
      <w:r>
        <w:rPr>
          <w:rFonts w:hint="eastAsia" w:ascii="仿宋_GB2312" w:hAnsi="仿宋_GB2312" w:eastAsia="仿宋_GB2312" w:cs="仿宋_GB2312"/>
          <w:color w:val="auto"/>
          <w:sz w:val="32"/>
          <w:szCs w:val="32"/>
        </w:rPr>
        <w:t>全会精神为指导，深入贯彻国家、省、市关于政府信息公开工作的安排部署，认真落实</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政府关于</w:t>
      </w:r>
      <w:r>
        <w:rPr>
          <w:rFonts w:hint="eastAsia" w:ascii="仿宋_GB2312" w:hAnsi="仿宋_GB2312" w:eastAsia="仿宋_GB2312" w:cs="仿宋_GB2312"/>
          <w:color w:val="auto"/>
          <w:sz w:val="32"/>
          <w:szCs w:val="32"/>
          <w:lang w:val="en-US" w:eastAsia="zh-CN"/>
        </w:rPr>
        <w:t>持续</w:t>
      </w:r>
      <w:r>
        <w:rPr>
          <w:rFonts w:hint="eastAsia" w:ascii="仿宋_GB2312" w:hAnsi="仿宋_GB2312" w:eastAsia="仿宋_GB2312" w:cs="仿宋_GB2312"/>
          <w:color w:val="auto"/>
          <w:sz w:val="32"/>
          <w:szCs w:val="32"/>
        </w:rPr>
        <w:t>推进政务公开的工作要求,围绕推进国家治理体系和治理能力现代化,扎实推进就业创业、社会保障、人才人事、劳动关系等方面</w:t>
      </w:r>
      <w:r>
        <w:rPr>
          <w:rFonts w:hint="eastAsia" w:ascii="仿宋_GB2312" w:hAnsi="仿宋_GB2312" w:eastAsia="仿宋_GB2312" w:cs="仿宋_GB2312"/>
          <w:color w:val="auto"/>
          <w:sz w:val="32"/>
          <w:szCs w:val="32"/>
          <w:lang w:val="en-US" w:eastAsia="zh-CN"/>
        </w:rPr>
        <w:t>政务信息</w:t>
      </w:r>
      <w:r>
        <w:rPr>
          <w:rFonts w:hint="eastAsia" w:ascii="仿宋_GB2312" w:hAnsi="仿宋_GB2312" w:eastAsia="仿宋_GB2312" w:cs="仿宋_GB2312"/>
          <w:color w:val="auto"/>
          <w:sz w:val="32"/>
          <w:szCs w:val="32"/>
        </w:rPr>
        <w:t>公开,全面提升政务公开质量和实效,</w:t>
      </w:r>
      <w:r>
        <w:rPr>
          <w:rFonts w:hint="eastAsia" w:ascii="仿宋_GB2312" w:hAnsi="仿宋_GB2312" w:eastAsia="仿宋_GB2312" w:cs="仿宋_GB2312"/>
          <w:color w:val="auto"/>
          <w:sz w:val="32"/>
          <w:szCs w:val="32"/>
          <w:lang w:val="en-US" w:eastAsia="zh-CN"/>
        </w:rPr>
        <w:t>有效</w:t>
      </w:r>
      <w:r>
        <w:rPr>
          <w:rFonts w:hint="eastAsia" w:ascii="仿宋_GB2312" w:hAnsi="仿宋_GB2312" w:eastAsia="仿宋_GB2312" w:cs="仿宋_GB2312"/>
          <w:color w:val="auto"/>
          <w:sz w:val="32"/>
          <w:szCs w:val="32"/>
        </w:rPr>
        <w:t>促进</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法治政府、创新政府、廉洁政府和服务型政府建设。</w:t>
      </w:r>
    </w:p>
    <w:p>
      <w:pPr>
        <w:keepNext w:val="0"/>
        <w:keepLines w:val="0"/>
        <w:pageBreakBefore w:val="0"/>
        <w:widowControl/>
        <w:suppressLineNumbers w:val="0"/>
        <w:kinsoku/>
        <w:wordWrap/>
        <w:overflowPunct/>
        <w:topLinePunct w:val="0"/>
        <w:autoSpaceDE/>
        <w:autoSpaceDN/>
        <w:bidi w:val="0"/>
        <w:adjustRightInd/>
        <w:snapToGrid/>
        <w:spacing w:line="656"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（一）聚焦中心工作和重点领域,持续推进政府信息公开。</w:t>
      </w:r>
      <w:r>
        <w:rPr>
          <w:rFonts w:hint="eastAsia" w:ascii="仿宋_GB2312" w:hAnsi="仿宋_GB2312" w:eastAsia="仿宋_GB2312" w:cs="仿宋_GB2312"/>
          <w:b/>
          <w:bCs/>
          <w:color w:val="auto"/>
          <w:kern w:val="0"/>
          <w:sz w:val="32"/>
          <w:szCs w:val="32"/>
          <w:lang w:val="en-US" w:eastAsia="zh-CN" w:bidi="ar"/>
        </w:rPr>
        <w:t>一是</w:t>
      </w:r>
      <w:r>
        <w:rPr>
          <w:rFonts w:hint="eastAsia" w:ascii="仿宋_GB2312" w:hAnsi="仿宋_GB2312" w:eastAsia="仿宋_GB2312" w:cs="仿宋_GB2312"/>
          <w:color w:val="auto"/>
          <w:kern w:val="0"/>
          <w:sz w:val="32"/>
          <w:szCs w:val="32"/>
          <w:lang w:val="en-US" w:eastAsia="zh-CN" w:bidi="ar"/>
        </w:rPr>
        <w:t>持续多渠道公开“新时代兴聊十大工程”“十二项攻坚行动”“九大领域改革攻坚”涉及我局的各项重大决策部署进展及落实情况。</w:t>
      </w:r>
      <w:r>
        <w:rPr>
          <w:rFonts w:hint="eastAsia" w:ascii="仿宋_GB2312" w:hAnsi="仿宋_GB2312" w:eastAsia="仿宋_GB2312" w:cs="仿宋_GB2312"/>
          <w:b/>
          <w:bCs/>
          <w:color w:val="auto"/>
          <w:kern w:val="0"/>
          <w:sz w:val="32"/>
          <w:szCs w:val="32"/>
          <w:lang w:val="en-US" w:eastAsia="zh-CN" w:bidi="ar"/>
        </w:rPr>
        <w:t>二是</w:t>
      </w:r>
      <w:r>
        <w:rPr>
          <w:rFonts w:hint="eastAsia" w:ascii="仿宋_GB2312" w:hAnsi="仿宋_GB2312" w:eastAsia="仿宋_GB2312" w:cs="仿宋_GB2312"/>
          <w:color w:val="auto"/>
          <w:kern w:val="0"/>
          <w:sz w:val="32"/>
          <w:szCs w:val="32"/>
          <w:lang w:val="en-US" w:eastAsia="zh-CN" w:bidi="ar"/>
        </w:rPr>
        <w:t>严格履行《中华人民共和国政府信息公开条例》法定义务,持续推进机构职能、财政预决算、行政执法、管理服务和社会公益事业建设等领域的政府信息公开。</w:t>
      </w:r>
      <w:r>
        <w:rPr>
          <w:rFonts w:hint="eastAsia" w:ascii="仿宋_GB2312" w:hAnsi="仿宋_GB2312" w:eastAsia="仿宋_GB2312" w:cs="仿宋_GB2312"/>
          <w:b/>
          <w:bCs/>
          <w:color w:val="auto"/>
          <w:kern w:val="0"/>
          <w:sz w:val="32"/>
          <w:szCs w:val="32"/>
          <w:lang w:val="en-US" w:eastAsia="zh-CN" w:bidi="ar"/>
        </w:rPr>
        <w:t>三是</w:t>
      </w:r>
      <w:r>
        <w:rPr>
          <w:rFonts w:hint="eastAsia" w:ascii="仿宋_GB2312" w:hAnsi="仿宋_GB2312" w:eastAsia="仿宋_GB2312" w:cs="仿宋_GB2312"/>
          <w:color w:val="auto"/>
          <w:kern w:val="0"/>
          <w:sz w:val="32"/>
          <w:szCs w:val="32"/>
          <w:lang w:val="en-US" w:eastAsia="zh-CN" w:bidi="ar"/>
        </w:rPr>
        <w:t>加大新旧动能转换、“双招双引”、重大民生项目、优化营商环境等领域的信息公开。加强优化涉企政务服务等方面信息公开,加大对国家、省近期出台的支持疫情企业纾困和复工复产复学等相关政策措施的公开和解读力度。</w:t>
      </w:r>
      <w:r>
        <w:rPr>
          <w:rFonts w:hint="eastAsia" w:ascii="仿宋_GB2312" w:hAnsi="仿宋_GB2312" w:eastAsia="仿宋_GB2312" w:cs="仿宋_GB2312"/>
          <w:b/>
          <w:bCs/>
          <w:color w:val="auto"/>
          <w:kern w:val="0"/>
          <w:sz w:val="32"/>
          <w:szCs w:val="32"/>
          <w:lang w:val="en-US" w:eastAsia="zh-CN" w:bidi="ar"/>
        </w:rPr>
        <w:t>四是</w:t>
      </w:r>
      <w:r>
        <w:rPr>
          <w:rFonts w:hint="eastAsia" w:ascii="仿宋_GB2312" w:hAnsi="仿宋_GB2312" w:eastAsia="仿宋_GB2312" w:cs="仿宋_GB2312"/>
          <w:color w:val="auto"/>
          <w:kern w:val="0"/>
          <w:sz w:val="32"/>
          <w:szCs w:val="32"/>
          <w:lang w:val="en-US" w:eastAsia="zh-CN" w:bidi="ar"/>
        </w:rPr>
        <w:t>实时发布保居民就业、保基本民生等相关政策信息，坚持政策性文件与解读方案、解读材料同步组织、同步审签、同步部署。</w:t>
      </w:r>
    </w:p>
    <w:p>
      <w:pPr>
        <w:keepNext w:val="0"/>
        <w:keepLines w:val="0"/>
        <w:pageBreakBefore w:val="0"/>
        <w:widowControl/>
        <w:suppressLineNumbers w:val="0"/>
        <w:kinsoku/>
        <w:wordWrap/>
        <w:overflowPunct/>
        <w:topLinePunct w:val="0"/>
        <w:autoSpaceDE/>
        <w:autoSpaceDN/>
        <w:bidi w:val="0"/>
        <w:adjustRightInd/>
        <w:snapToGrid/>
        <w:spacing w:line="65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lang w:val="en-US" w:eastAsia="zh-CN" w:bidi="ar"/>
        </w:rPr>
        <w:t>（二）积极推进行政决策、执行、管理、服务和结果全过程公开。</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推进决策公开。主动向社会公布涉及公共利益和公众权益的重大事项决策草案、决策依据等,广泛听取群众意见。持续推进市民代表列席局办公会制度,</w:t>
      </w:r>
      <w:r>
        <w:rPr>
          <w:rFonts w:hint="default" w:ascii="仿宋_GB2312" w:hAnsi="仿宋_GB2312" w:eastAsia="仿宋_GB2312" w:cs="仿宋_GB2312"/>
          <w:color w:val="auto"/>
          <w:sz w:val="32"/>
          <w:szCs w:val="32"/>
          <w:lang w:val="en-US" w:eastAsia="zh-CN"/>
        </w:rPr>
        <w:t>对涉及重大民生事项的议题,邀请利益相关方、公众、专家和媒体等代表列席有关会议,广泛吸纳各方意见,深入推进政务公开,提高行政决策的科学化、民主化、法治化水平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二是推进</w:t>
      </w:r>
      <w:r>
        <w:rPr>
          <w:rFonts w:hint="eastAsia" w:ascii="仿宋_GB2312" w:hAnsi="仿宋_GB2312" w:eastAsia="仿宋_GB2312" w:cs="仿宋_GB2312"/>
          <w:color w:val="auto"/>
          <w:sz w:val="32"/>
          <w:szCs w:val="32"/>
          <w:lang w:val="en-US" w:eastAsia="zh-CN"/>
        </w:rPr>
        <w:t>管理和服务公开。按照市政府统一部署,公布我局职能目录,更新完善权责清单。健全完善规章和行政规范性文件定期清理和公开制度,加强行政规范性文件动态管理,并及时公开结果。在政务服务大厅设立政务公开专区,公开政务服务事项,并提供信息公开申请、办事咨询答复等服务。持续深入推进“政府开放日”活动,以深化行政改革、推动社会发展、严格依法行政、推进政务公开、落实便民政策等为重点发掘开放日主题,全方位介绍和展现政府工作、制度规范、特色亮点、服务举措和创新成果等。</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推进执行和结果公开。定期公开政府工作报告重点任务、民生实事项目、重要决策的执行情况；重点公开各类发展目标、改革任务、民生举措等落实情况；做好督查和审计发现问题及整改落实情况的公开；主动公开本单位办理建议和提案总体情况、人大代表和政协委员意见建议吸收采纳情况、有关工作动态等内容。</w:t>
      </w:r>
    </w:p>
    <w:p>
      <w:pPr>
        <w:keepNext w:val="0"/>
        <w:keepLines w:val="0"/>
        <w:pageBreakBefore w:val="0"/>
        <w:kinsoku/>
        <w:wordWrap/>
        <w:overflowPunct/>
        <w:topLinePunct w:val="0"/>
        <w:autoSpaceDE/>
        <w:autoSpaceDN/>
        <w:bidi w:val="0"/>
        <w:adjustRightInd/>
        <w:snapToGrid/>
        <w:spacing w:line="65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lang w:val="en-US" w:eastAsia="zh-CN" w:bidi="ar"/>
        </w:rPr>
        <w:t>(三)推进政务公开标准化规范化建设,提升平台建设和服务水平。</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全面推进基层政务公开标准化规范化建设。</w:t>
      </w:r>
      <w:r>
        <w:rPr>
          <w:rFonts w:hint="eastAsia" w:ascii="仿宋_GB2312" w:hAnsi="仿宋_GB2312" w:eastAsia="仿宋_GB2312" w:cs="仿宋_GB2312"/>
          <w:color w:val="auto"/>
          <w:sz w:val="32"/>
          <w:szCs w:val="32"/>
          <w:lang w:val="en-US" w:eastAsia="zh-CN"/>
        </w:rPr>
        <w:t>围绕省、市明确的重点领域范围,制定了《聊城市人社领域开展基层政务公开标准化规范化工作实施方案》（聊人社字〔2020〕51号）、《关于进一步规范政务公开工作的实施方案》,按照“应公开、尽公开”的要求,依法依规全面梳理公开事项,制定公开目录,细化公开内容,进一步提高基层政务公开的针对性、实效性。</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进一步规范政府信息公开专栏设置,按照《中华人民共和国政府信息公开条例》要求和市政府信息公开目录，在网站首页位置展示,及时调整和落实法定主动公开内容和要求。</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规范依申请公开工作。注重依申请公开工作的程序规范和实体规范,强化做好依申请公开接收、登记、办理、调查、答复等各个环节工作，做到依申请办理的程序化、规范化、标准化,未发生违反政府信息公开法律法规规定的情况。</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加强日常管理。完善政府信息公开动态管理机制,严格落实政务公开相关制度,对政府信息进行全生命周期的规范管理。对于已公开的法规、规章、规范性文件等重要政府信息,根据立、改、废等情况动态进行了调整更新。</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充分利用各级各类新闻媒体平台。增强与宣传、网信等部门以及新闻媒体的沟通联系,充分运用各级各类新闻媒体资源,做好政务公开工作。充分发挥新闻发布会作用,增强政府信息发布的主动性、权威性和时效性。及时主动向媒体提供素材,召开媒体通气会,畅通媒体采访渠道,较好地发挥新闻媒体的公开平台作用。</w:t>
      </w:r>
    </w:p>
    <w:p>
      <w:pP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br w:type="page"/>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SA"/>
        </w:rPr>
        <w:t>二、主动公开政府信息情况</w:t>
      </w:r>
    </w:p>
    <w:tbl>
      <w:tblPr>
        <w:tblStyle w:val="4"/>
        <w:tblW w:w="8708" w:type="dxa"/>
        <w:jc w:val="center"/>
        <w:shd w:val="clear" w:color="auto" w:fill="FFFFFF"/>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blCellMar>
            <w:top w:w="0" w:type="dxa"/>
            <w:left w:w="0" w:type="dxa"/>
            <w:bottom w:w="0" w:type="dxa"/>
            <w:right w:w="0" w:type="dxa"/>
          </w:tblCellMar>
        </w:tblPrEx>
        <w:trPr>
          <w:trHeight w:val="760"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sz w:val="24"/>
              </w:rPr>
            </w:pPr>
            <w:r>
              <w:rPr>
                <w:rFonts w:hint="eastAsia" w:ascii="宋体" w:hAnsi="宋体" w:cs="宋体"/>
                <w:color w:val="000000"/>
                <w:kern w:val="0"/>
                <w:sz w:val="24"/>
              </w:rPr>
              <w:t>第二十条第（一）项</w:t>
            </w:r>
          </w:p>
        </w:tc>
      </w:tr>
      <w:tr>
        <w:tblPrEx>
          <w:shd w:val="clear" w:color="auto" w:fill="FFFFFF"/>
          <w:tblCellMar>
            <w:top w:w="0" w:type="dxa"/>
            <w:left w:w="0" w:type="dxa"/>
            <w:bottom w:w="0" w:type="dxa"/>
            <w:right w:w="0" w:type="dxa"/>
          </w:tblCellMar>
        </w:tblPrEx>
        <w:trPr>
          <w:trHeight w:val="62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eastAsia" w:ascii="宋体" w:hAnsi="宋体" w:cs="宋体"/>
                <w:color w:val="000000"/>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eastAsia" w:ascii="宋体" w:hAnsi="宋体" w:cs="宋体"/>
                <w:color w:val="000000"/>
                <w:kern w:val="0"/>
                <w:sz w:val="24"/>
              </w:rPr>
              <w:t>本年新</w:t>
            </w:r>
            <w:r>
              <w:rPr>
                <w:rFonts w:hint="eastAsia" w:ascii="宋体" w:hAnsi="宋体" w:cs="宋体"/>
                <w:color w:val="000000"/>
                <w:kern w:val="0"/>
                <w:sz w:val="24"/>
              </w:rPr>
              <w:br w:type="textWrapping"/>
            </w:r>
            <w:r>
              <w:rPr>
                <w:rFonts w:hint="eastAsia" w:ascii="宋体" w:hAnsi="宋体" w:cs="宋体"/>
                <w:color w:val="000000"/>
                <w:kern w:val="0"/>
                <w:sz w:val="24"/>
              </w:rPr>
              <w:t>公开数量</w:t>
            </w:r>
          </w:p>
        </w:tc>
        <w:tc>
          <w:tcPr>
            <w:tcW w:w="20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对外公开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eastAsia" w:ascii="宋体" w:hAnsi="宋体" w:cs="宋体"/>
                <w:color w:val="000000"/>
                <w:kern w:val="0"/>
                <w:sz w:val="24"/>
              </w:rPr>
              <w:t>总数量</w:t>
            </w:r>
          </w:p>
        </w:tc>
      </w:tr>
      <w:tr>
        <w:tblPrEx>
          <w:tblCellMar>
            <w:top w:w="0" w:type="dxa"/>
            <w:left w:w="0" w:type="dxa"/>
            <w:bottom w:w="0" w:type="dxa"/>
            <w:right w:w="0" w:type="dxa"/>
          </w:tblCellMar>
        </w:tblPrEx>
        <w:trPr>
          <w:trHeight w:val="62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规章</w:t>
            </w:r>
          </w:p>
        </w:tc>
        <w:tc>
          <w:tcPr>
            <w:tcW w:w="21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default" w:ascii="宋体" w:hAnsi="宋体" w:cs="宋体"/>
                <w:color w:val="000000"/>
                <w:kern w:val="0"/>
                <w:sz w:val="24"/>
                <w:lang w:val="en-US"/>
              </w:rPr>
              <w:t>0</w:t>
            </w:r>
          </w:p>
        </w:tc>
        <w:tc>
          <w:tcPr>
            <w:tcW w:w="15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default" w:ascii="宋体" w:hAnsi="宋体" w:cs="宋体"/>
                <w:color w:val="000000"/>
                <w:kern w:val="0"/>
                <w:sz w:val="24"/>
                <w:lang w:val="en-US"/>
              </w:rPr>
              <w:t>0</w:t>
            </w:r>
          </w:p>
        </w:tc>
        <w:tc>
          <w:tcPr>
            <w:tcW w:w="20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default" w:ascii="宋体" w:hAnsi="宋体" w:cs="宋体"/>
                <w:color w:val="000000"/>
                <w:kern w:val="0"/>
                <w:sz w:val="24"/>
                <w:lang w:val="en-US"/>
              </w:rPr>
              <w:t>0</w:t>
            </w:r>
          </w:p>
        </w:tc>
      </w:tr>
      <w:tr>
        <w:tblPrEx>
          <w:tblCellMar>
            <w:top w:w="0" w:type="dxa"/>
            <w:left w:w="0" w:type="dxa"/>
            <w:bottom w:w="0" w:type="dxa"/>
            <w:right w:w="0" w:type="dxa"/>
          </w:tblCellMar>
        </w:tblPrEx>
        <w:trPr>
          <w:trHeight w:val="62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规范性文件</w:t>
            </w:r>
          </w:p>
        </w:tc>
        <w:tc>
          <w:tcPr>
            <w:tcW w:w="21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lang w:val="en-US" w:eastAsia="zh-CN"/>
              </w:rPr>
              <w:t>0</w:t>
            </w:r>
          </w:p>
        </w:tc>
        <w:tc>
          <w:tcPr>
            <w:tcW w:w="15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lang w:val="en-US" w:eastAsia="zh-CN"/>
              </w:rPr>
              <w:t>0</w:t>
            </w:r>
          </w:p>
        </w:tc>
      </w:tr>
      <w:tr>
        <w:tblPrEx>
          <w:shd w:val="clear" w:color="auto" w:fill="FFFFFF"/>
          <w:tblCellMar>
            <w:top w:w="0" w:type="dxa"/>
            <w:left w:w="0" w:type="dxa"/>
            <w:bottom w:w="0" w:type="dxa"/>
            <w:right w:w="0" w:type="dxa"/>
          </w:tblCellMar>
        </w:tblPrEx>
        <w:trPr>
          <w:trHeight w:val="62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第二十条第（五）项</w:t>
            </w:r>
          </w:p>
        </w:tc>
      </w:tr>
      <w:tr>
        <w:tblPrEx>
          <w:shd w:val="clear" w:color="auto" w:fill="FFFFFF"/>
          <w:tblCellMar>
            <w:top w:w="0" w:type="dxa"/>
            <w:left w:w="0" w:type="dxa"/>
            <w:bottom w:w="0" w:type="dxa"/>
            <w:right w:w="0" w:type="dxa"/>
          </w:tblCellMar>
        </w:tblPrEx>
        <w:trPr>
          <w:trHeight w:val="62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eastAsia" w:ascii="宋体" w:hAnsi="宋体" w:cs="宋体"/>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eastAsia" w:ascii="宋体" w:hAnsi="宋体" w:cs="宋体"/>
                <w:color w:val="000000"/>
                <w:kern w:val="0"/>
                <w:sz w:val="24"/>
              </w:rPr>
              <w:t>本年增/减</w:t>
            </w:r>
          </w:p>
        </w:tc>
        <w:tc>
          <w:tcPr>
            <w:tcW w:w="20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eastAsia" w:ascii="宋体" w:hAnsi="宋体" w:cs="宋体"/>
                <w:color w:val="000000"/>
                <w:kern w:val="0"/>
                <w:sz w:val="24"/>
              </w:rPr>
              <w:t>处理决定数量</w:t>
            </w:r>
          </w:p>
        </w:tc>
      </w:tr>
      <w:tr>
        <w:tblPrEx>
          <w:tblCellMar>
            <w:top w:w="0" w:type="dxa"/>
            <w:left w:w="0" w:type="dxa"/>
            <w:bottom w:w="0" w:type="dxa"/>
            <w:right w:w="0" w:type="dxa"/>
          </w:tblCellMar>
        </w:tblPrEx>
        <w:trPr>
          <w:trHeight w:val="62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行政许可</w:t>
            </w:r>
          </w:p>
        </w:tc>
        <w:tc>
          <w:tcPr>
            <w:tcW w:w="21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default" w:ascii="宋体" w:hAnsi="宋体" w:cs="宋体"/>
                <w:color w:val="000000"/>
                <w:kern w:val="0"/>
                <w:sz w:val="24"/>
                <w:lang w:val="en-US"/>
              </w:rPr>
              <w:t>0</w:t>
            </w:r>
          </w:p>
        </w:tc>
        <w:tc>
          <w:tcPr>
            <w:tcW w:w="15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default" w:ascii="宋体" w:hAnsi="宋体" w:cs="宋体"/>
                <w:color w:val="000000"/>
                <w:kern w:val="0"/>
                <w:sz w:val="24"/>
                <w:lang w:val="en-US"/>
              </w:rPr>
              <w:t>0</w:t>
            </w:r>
          </w:p>
        </w:tc>
        <w:tc>
          <w:tcPr>
            <w:tcW w:w="20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default" w:ascii="宋体" w:hAnsi="宋体" w:cs="宋体"/>
                <w:color w:val="000000"/>
                <w:kern w:val="0"/>
                <w:sz w:val="24"/>
                <w:lang w:val="en-US"/>
              </w:rPr>
              <w:t>0</w:t>
            </w:r>
          </w:p>
        </w:tc>
      </w:tr>
      <w:tr>
        <w:tblPrEx>
          <w:tblCellMar>
            <w:top w:w="0" w:type="dxa"/>
            <w:left w:w="0" w:type="dxa"/>
            <w:bottom w:w="0" w:type="dxa"/>
            <w:right w:w="0" w:type="dxa"/>
          </w:tblCellMar>
        </w:tblPrEx>
        <w:trPr>
          <w:trHeight w:val="62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71</w:t>
            </w:r>
          </w:p>
        </w:tc>
        <w:tc>
          <w:tcPr>
            <w:tcW w:w="15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default" w:ascii="宋体" w:hAnsi="宋体" w:cs="宋体"/>
                <w:color w:val="000000"/>
                <w:kern w:val="0"/>
                <w:sz w:val="24"/>
                <w:lang w:val="en-US"/>
              </w:rPr>
              <w:t>0</w:t>
            </w:r>
          </w:p>
        </w:tc>
        <w:tc>
          <w:tcPr>
            <w:tcW w:w="20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≈220000</w:t>
            </w:r>
          </w:p>
        </w:tc>
      </w:tr>
      <w:tr>
        <w:tblPrEx>
          <w:shd w:val="clear" w:color="auto" w:fill="FFFFFF"/>
          <w:tblCellMar>
            <w:top w:w="0" w:type="dxa"/>
            <w:left w:w="0" w:type="dxa"/>
            <w:bottom w:w="0" w:type="dxa"/>
            <w:right w:w="0" w:type="dxa"/>
          </w:tblCellMar>
        </w:tblPrEx>
        <w:trPr>
          <w:trHeight w:val="62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第二十条第（六）项</w:t>
            </w:r>
          </w:p>
        </w:tc>
      </w:tr>
      <w:tr>
        <w:tblPrEx>
          <w:shd w:val="clear" w:color="auto" w:fill="FFFFFF"/>
          <w:tblCellMar>
            <w:top w:w="0" w:type="dxa"/>
            <w:left w:w="0" w:type="dxa"/>
            <w:bottom w:w="0" w:type="dxa"/>
            <w:right w:w="0" w:type="dxa"/>
          </w:tblCellMar>
        </w:tblPrEx>
        <w:trPr>
          <w:trHeight w:val="62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eastAsia" w:ascii="宋体" w:hAnsi="宋体" w:cs="宋体"/>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eastAsia" w:ascii="宋体" w:hAnsi="宋体" w:cs="宋体"/>
                <w:color w:val="000000"/>
                <w:kern w:val="0"/>
                <w:sz w:val="24"/>
              </w:rPr>
              <w:t>本年增/减</w:t>
            </w:r>
          </w:p>
        </w:tc>
        <w:tc>
          <w:tcPr>
            <w:tcW w:w="20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eastAsia" w:ascii="宋体" w:hAnsi="宋体" w:cs="宋体"/>
                <w:color w:val="000000"/>
                <w:kern w:val="0"/>
                <w:sz w:val="24"/>
              </w:rPr>
              <w:t>处理决定数量</w:t>
            </w:r>
          </w:p>
        </w:tc>
      </w:tr>
      <w:tr>
        <w:tblPrEx>
          <w:tblCellMar>
            <w:top w:w="0" w:type="dxa"/>
            <w:left w:w="0" w:type="dxa"/>
            <w:bottom w:w="0" w:type="dxa"/>
            <w:right w:w="0" w:type="dxa"/>
          </w:tblCellMar>
        </w:tblPrEx>
        <w:trPr>
          <w:trHeight w:val="62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行政处罚</w:t>
            </w:r>
          </w:p>
        </w:tc>
        <w:tc>
          <w:tcPr>
            <w:tcW w:w="21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64</w:t>
            </w:r>
          </w:p>
        </w:tc>
        <w:tc>
          <w:tcPr>
            <w:tcW w:w="15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CellMar>
            <w:top w:w="0" w:type="dxa"/>
            <w:left w:w="0" w:type="dxa"/>
            <w:bottom w:w="0" w:type="dxa"/>
            <w:right w:w="0" w:type="dxa"/>
          </w:tblCellMar>
        </w:tblPrEx>
        <w:trPr>
          <w:trHeight w:val="62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行政强制</w:t>
            </w:r>
          </w:p>
        </w:tc>
        <w:tc>
          <w:tcPr>
            <w:tcW w:w="21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5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1772</w:t>
            </w:r>
          </w:p>
        </w:tc>
      </w:tr>
      <w:tr>
        <w:tblPrEx>
          <w:shd w:val="clear" w:color="auto" w:fill="FFFFFF"/>
          <w:tblCellMar>
            <w:top w:w="0" w:type="dxa"/>
            <w:left w:w="0" w:type="dxa"/>
            <w:bottom w:w="0" w:type="dxa"/>
            <w:right w:w="0" w:type="dxa"/>
          </w:tblCellMar>
        </w:tblPrEx>
        <w:trPr>
          <w:trHeight w:val="62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第二十条第（八）项</w:t>
            </w:r>
          </w:p>
        </w:tc>
      </w:tr>
      <w:tr>
        <w:tblPrEx>
          <w:tblCellMar>
            <w:top w:w="0" w:type="dxa"/>
            <w:left w:w="0" w:type="dxa"/>
            <w:bottom w:w="0" w:type="dxa"/>
            <w:right w:w="0" w:type="dxa"/>
          </w:tblCellMar>
        </w:tblPrEx>
        <w:trPr>
          <w:trHeight w:val="62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21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eastAsia" w:ascii="宋体" w:hAnsi="宋体" w:cs="宋体"/>
                <w:color w:val="000000"/>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eastAsia" w:ascii="宋体" w:hAnsi="宋体" w:cs="宋体"/>
                <w:color w:val="000000"/>
                <w:kern w:val="0"/>
                <w:sz w:val="24"/>
              </w:rPr>
              <w:t>本年增/减</w:t>
            </w:r>
          </w:p>
        </w:tc>
      </w:tr>
      <w:tr>
        <w:tblPrEx>
          <w:tblCellMar>
            <w:top w:w="0" w:type="dxa"/>
            <w:left w:w="0" w:type="dxa"/>
            <w:bottom w:w="0" w:type="dxa"/>
            <w:right w:w="0" w:type="dxa"/>
          </w:tblCellMar>
        </w:tblPrEx>
        <w:trPr>
          <w:trHeight w:val="62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c>
          <w:tcPr>
            <w:tcW w:w="3523" w:type="dxa"/>
            <w:gridSpan w:val="2"/>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0</w:t>
            </w:r>
          </w:p>
        </w:tc>
      </w:tr>
      <w:tr>
        <w:tblPrEx>
          <w:shd w:val="clear" w:color="auto" w:fill="FFFFFF"/>
          <w:tblCellMar>
            <w:top w:w="0" w:type="dxa"/>
            <w:left w:w="0" w:type="dxa"/>
            <w:bottom w:w="0" w:type="dxa"/>
            <w:right w:w="0" w:type="dxa"/>
          </w:tblCellMar>
        </w:tblPrEx>
        <w:trPr>
          <w:trHeight w:val="62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第二十条第（九）项</w:t>
            </w:r>
          </w:p>
        </w:tc>
      </w:tr>
      <w:tr>
        <w:tblPrEx>
          <w:tblCellMar>
            <w:top w:w="0" w:type="dxa"/>
            <w:left w:w="0" w:type="dxa"/>
            <w:bottom w:w="0" w:type="dxa"/>
            <w:right w:w="0" w:type="dxa"/>
          </w:tblCellMar>
        </w:tblPrEx>
        <w:trPr>
          <w:trHeight w:val="624"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20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eastAsia" w:ascii="宋体" w:hAnsi="宋体" w:cs="宋体"/>
                <w:color w:val="000000"/>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24"/>
              </w:rPr>
            </w:pPr>
            <w:r>
              <w:rPr>
                <w:rFonts w:hint="eastAsia" w:ascii="宋体" w:hAnsi="宋体" w:cs="宋体"/>
                <w:color w:val="000000"/>
                <w:kern w:val="0"/>
                <w:sz w:val="24"/>
              </w:rPr>
              <w:t>采购总金额</w:t>
            </w:r>
          </w:p>
        </w:tc>
      </w:tr>
      <w:tr>
        <w:tblPrEx>
          <w:shd w:val="clear" w:color="auto" w:fill="FFFFFF"/>
          <w:tblCellMar>
            <w:top w:w="0" w:type="dxa"/>
            <w:left w:w="0" w:type="dxa"/>
            <w:bottom w:w="0" w:type="dxa"/>
            <w:right w:w="0" w:type="dxa"/>
          </w:tblCellMar>
        </w:tblPrEx>
        <w:trPr>
          <w:trHeight w:val="624"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24"/>
              </w:rPr>
            </w:pPr>
            <w:r>
              <w:rPr>
                <w:rFonts w:hint="eastAsia" w:ascii="宋体" w:hAnsi="宋体" w:cs="宋体"/>
                <w:color w:val="000000"/>
                <w:kern w:val="0"/>
                <w:sz w:val="24"/>
              </w:rPr>
              <w:t>政府集中采购</w:t>
            </w:r>
          </w:p>
        </w:tc>
        <w:tc>
          <w:tcPr>
            <w:tcW w:w="20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3523" w:type="dxa"/>
            <w:gridSpan w:val="2"/>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约739万元</w:t>
            </w:r>
          </w:p>
        </w:tc>
      </w:tr>
    </w:tbl>
    <w:p>
      <w:pPr>
        <w:keepNext w:val="0"/>
        <w:keepLines w:val="0"/>
        <w:pageBreakBefore w:val="0"/>
        <w:kinsoku/>
        <w:overflowPunct/>
        <w:topLinePunct w:val="0"/>
        <w:autoSpaceDE/>
        <w:autoSpaceDN/>
        <w:bidi w:val="0"/>
        <w:adjustRightInd/>
        <w:snapToGrid/>
        <w:spacing w:line="240" w:lineRule="auto"/>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三、收到和处理政府信息公开申请情况</w:t>
      </w:r>
    </w:p>
    <w:tbl>
      <w:tblPr>
        <w:tblStyle w:val="4"/>
        <w:tblW w:w="876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72"/>
        <w:gridCol w:w="1146"/>
        <w:gridCol w:w="2981"/>
        <w:gridCol w:w="595"/>
        <w:gridCol w:w="595"/>
        <w:gridCol w:w="595"/>
        <w:gridCol w:w="595"/>
        <w:gridCol w:w="595"/>
        <w:gridCol w:w="595"/>
        <w:gridCol w:w="5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59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（本列数据的勾稽关系为：第一项加第二项之和，等于第三项加第四项之和）</w:t>
            </w:r>
          </w:p>
        </w:tc>
        <w:tc>
          <w:tcPr>
            <w:tcW w:w="416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59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2"/>
                <w:szCs w:val="22"/>
              </w:rPr>
            </w:pPr>
          </w:p>
        </w:tc>
        <w:tc>
          <w:tcPr>
            <w:tcW w:w="59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自然人</w:t>
            </w:r>
          </w:p>
        </w:tc>
        <w:tc>
          <w:tcPr>
            <w:tcW w:w="297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法人或其他组织</w:t>
            </w:r>
          </w:p>
        </w:tc>
        <w:tc>
          <w:tcPr>
            <w:tcW w:w="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32" w:hRule="atLeast"/>
          <w:jc w:val="center"/>
        </w:trPr>
        <w:tc>
          <w:tcPr>
            <w:tcW w:w="459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cs="宋体"/>
                <w:color w:val="000000"/>
                <w:kern w:val="0"/>
                <w:sz w:val="22"/>
                <w:szCs w:val="22"/>
              </w:rPr>
            </w:pPr>
          </w:p>
        </w:tc>
        <w:tc>
          <w:tcPr>
            <w:tcW w:w="59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cs="宋体"/>
                <w:color w:val="000000"/>
                <w:kern w:val="0"/>
                <w:sz w:val="22"/>
                <w:szCs w:val="22"/>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商业企业</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科研机构</w:t>
            </w:r>
          </w:p>
        </w:tc>
        <w:tc>
          <w:tcPr>
            <w:tcW w:w="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社会公益组织</w:t>
            </w:r>
          </w:p>
        </w:tc>
        <w:tc>
          <w:tcPr>
            <w:tcW w:w="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法律服务机构</w:t>
            </w:r>
          </w:p>
        </w:tc>
        <w:tc>
          <w:tcPr>
            <w:tcW w:w="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其他</w:t>
            </w:r>
          </w:p>
        </w:tc>
        <w:tc>
          <w:tcPr>
            <w:tcW w:w="595" w:type="dxa"/>
            <w:tcBorders>
              <w:top w:val="single" w:color="auto" w:sz="8" w:space="0"/>
              <w:left w:val="nil"/>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cs="宋体"/>
                <w:color w:val="000000"/>
                <w:kern w:val="0"/>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9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cs="宋体"/>
                <w:color w:val="000000"/>
                <w:kern w:val="0"/>
                <w:sz w:val="24"/>
              </w:rPr>
            </w:pPr>
            <w:r>
              <w:rPr>
                <w:rFonts w:hint="eastAsia" w:ascii="宋体" w:hAnsi="宋体" w:cs="宋体"/>
                <w:color w:val="000000"/>
                <w:kern w:val="0"/>
                <w:sz w:val="24"/>
              </w:rPr>
              <w:t>一、本年新收政府信息公开申请数量</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26</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9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cs="宋体"/>
                <w:color w:val="000000"/>
                <w:kern w:val="0"/>
                <w:sz w:val="24"/>
              </w:rPr>
            </w:pPr>
            <w:r>
              <w:rPr>
                <w:rFonts w:hint="eastAsia" w:ascii="宋体" w:hAnsi="宋体" w:cs="宋体"/>
                <w:color w:val="000000"/>
                <w:kern w:val="0"/>
                <w:sz w:val="24"/>
              </w:rPr>
              <w:t>二、上年结转政府信息公开申请数量</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0</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47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color w:val="000000"/>
                <w:kern w:val="0"/>
                <w:sz w:val="20"/>
                <w:szCs w:val="20"/>
              </w:rPr>
            </w:pPr>
            <w:r>
              <w:rPr>
                <w:rFonts w:hint="eastAsia" w:ascii="宋体" w:hAnsi="宋体" w:cs="宋体"/>
                <w:color w:val="000000"/>
                <w:kern w:val="0"/>
                <w:sz w:val="24"/>
              </w:rPr>
              <w:t>三、本年度办理结果</w:t>
            </w:r>
          </w:p>
        </w:tc>
        <w:tc>
          <w:tcPr>
            <w:tcW w:w="412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（一）予以公开</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22</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412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（二）部分公开（区分处理的，只计这一情形，不计其他情形）</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3</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（三）不予公开</w:t>
            </w: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1.属于国家秘密</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color w:val="000000"/>
                <w:kern w:val="0"/>
                <w:sz w:val="21"/>
                <w:szCs w:val="21"/>
              </w:rPr>
            </w:pP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2.其他法律行政法规禁止公开</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color w:val="000000"/>
                <w:kern w:val="0"/>
                <w:sz w:val="21"/>
                <w:szCs w:val="21"/>
              </w:rPr>
            </w:pP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3.危及“三安全一稳定”</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color w:val="000000"/>
                <w:kern w:val="0"/>
                <w:sz w:val="21"/>
                <w:szCs w:val="21"/>
              </w:rPr>
            </w:pP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4.保护第三方合法权益</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color w:val="000000"/>
                <w:kern w:val="0"/>
                <w:sz w:val="21"/>
                <w:szCs w:val="21"/>
              </w:rPr>
            </w:pP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5.属于三类内部事务信息</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color w:val="000000"/>
                <w:kern w:val="0"/>
                <w:sz w:val="21"/>
                <w:szCs w:val="21"/>
              </w:rPr>
            </w:pP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6.属于四类过程性信息</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color w:val="000000"/>
                <w:kern w:val="0"/>
                <w:sz w:val="21"/>
                <w:szCs w:val="21"/>
              </w:rPr>
            </w:pP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7.属于行政执法案卷</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color w:val="000000"/>
                <w:kern w:val="0"/>
                <w:sz w:val="21"/>
                <w:szCs w:val="21"/>
              </w:rPr>
            </w:pP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8.属于行政查询事项</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（四）无法提供</w:t>
            </w: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1.本机关不掌握相关政府信息</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eastAsiaTheme="minorEastAsia"/>
                <w:color w:val="000000"/>
                <w:kern w:val="0"/>
                <w:sz w:val="24"/>
                <w:lang w:eastAsia="zh-CN"/>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color w:val="000000"/>
                <w:kern w:val="0"/>
                <w:sz w:val="21"/>
                <w:szCs w:val="21"/>
              </w:rPr>
            </w:pP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2.没有现成信息需要另行制作</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color w:val="000000"/>
                <w:kern w:val="0"/>
                <w:sz w:val="21"/>
                <w:szCs w:val="21"/>
              </w:rPr>
            </w:pP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3.补正后申请内容仍不明确</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（五）不予处理</w:t>
            </w: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1.信访举报投诉类申请</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2.重复申请</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3.要求提供公开出版物</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4.无正当理由大量反复申请</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atLeas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114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p>
        </w:tc>
        <w:tc>
          <w:tcPr>
            <w:tcW w:w="29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5.要求行政机关确认或重新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出具已获取信息</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412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（六）其他处理</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exact"/>
          <w:jc w:val="center"/>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0"/>
                <w:szCs w:val="20"/>
              </w:rPr>
            </w:pPr>
          </w:p>
        </w:tc>
        <w:tc>
          <w:tcPr>
            <w:tcW w:w="412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（七）总计</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25</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459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cs="宋体"/>
                <w:color w:val="000000"/>
                <w:kern w:val="0"/>
                <w:sz w:val="24"/>
              </w:rPr>
            </w:pPr>
            <w:r>
              <w:rPr>
                <w:rFonts w:hint="eastAsia" w:ascii="宋体" w:hAnsi="宋体" w:cs="宋体"/>
                <w:color w:val="000000"/>
                <w:kern w:val="0"/>
                <w:sz w:val="24"/>
              </w:rPr>
              <w:t>四、结转下年度继续办理</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w:t>
            </w:r>
          </w:p>
        </w:tc>
      </w:tr>
    </w:tbl>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SA"/>
        </w:rPr>
        <w:t>四、政府信息公开行政复议、行政诉讼情况</w:t>
      </w:r>
    </w:p>
    <w:tbl>
      <w:tblPr>
        <w:tblStyle w:val="4"/>
        <w:tblW w:w="880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95"/>
        <w:gridCol w:w="595"/>
        <w:gridCol w:w="595"/>
        <w:gridCol w:w="584"/>
        <w:gridCol w:w="582"/>
        <w:gridCol w:w="608"/>
        <w:gridCol w:w="584"/>
        <w:gridCol w:w="584"/>
        <w:gridCol w:w="584"/>
        <w:gridCol w:w="584"/>
        <w:gridCol w:w="50"/>
        <w:gridCol w:w="534"/>
        <w:gridCol w:w="584"/>
        <w:gridCol w:w="584"/>
        <w:gridCol w:w="584"/>
        <w:gridCol w:w="5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295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行政复议</w:t>
            </w:r>
          </w:p>
        </w:tc>
        <w:tc>
          <w:tcPr>
            <w:tcW w:w="5856" w:type="dxa"/>
            <w:gridSpan w:val="11"/>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59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维持</w:t>
            </w:r>
          </w:p>
        </w:tc>
        <w:tc>
          <w:tcPr>
            <w:tcW w:w="59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结果纠正</w:t>
            </w:r>
          </w:p>
        </w:tc>
        <w:tc>
          <w:tcPr>
            <w:tcW w:w="5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其他结果</w:t>
            </w:r>
          </w:p>
        </w:tc>
        <w:tc>
          <w:tcPr>
            <w:tcW w:w="5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尚未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审结</w:t>
            </w:r>
          </w:p>
        </w:tc>
        <w:tc>
          <w:tcPr>
            <w:tcW w:w="58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计</w:t>
            </w:r>
          </w:p>
        </w:tc>
        <w:tc>
          <w:tcPr>
            <w:tcW w:w="2994"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未经复议直接起诉</w:t>
            </w:r>
          </w:p>
        </w:tc>
        <w:tc>
          <w:tcPr>
            <w:tcW w:w="2862"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59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8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结果维持</w:t>
            </w:r>
          </w:p>
        </w:tc>
        <w:tc>
          <w:tcPr>
            <w:tcW w:w="5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结果纠正</w:t>
            </w:r>
          </w:p>
        </w:tc>
        <w:tc>
          <w:tcPr>
            <w:tcW w:w="5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其他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结果</w:t>
            </w:r>
          </w:p>
        </w:tc>
        <w:tc>
          <w:tcPr>
            <w:tcW w:w="5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尚未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审结</w:t>
            </w:r>
          </w:p>
        </w:tc>
        <w:tc>
          <w:tcPr>
            <w:tcW w:w="5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总计</w:t>
            </w:r>
          </w:p>
        </w:tc>
        <w:tc>
          <w:tcPr>
            <w:tcW w:w="584"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结果维持</w:t>
            </w:r>
          </w:p>
        </w:tc>
        <w:tc>
          <w:tcPr>
            <w:tcW w:w="5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纠正</w:t>
            </w:r>
          </w:p>
        </w:tc>
        <w:tc>
          <w:tcPr>
            <w:tcW w:w="5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其他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结果</w:t>
            </w:r>
          </w:p>
        </w:tc>
        <w:tc>
          <w:tcPr>
            <w:tcW w:w="5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尚未审结</w:t>
            </w:r>
          </w:p>
        </w:tc>
        <w:tc>
          <w:tcPr>
            <w:tcW w:w="5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r>
              <w:rPr>
                <w:rFonts w:hint="eastAsia" w:ascii="宋体" w:hAnsi="宋体" w:cs="宋体"/>
                <w:color w:val="000000"/>
                <w:kern w:val="0"/>
                <w:sz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6" w:hRule="atLeast"/>
          <w:jc w:val="center"/>
        </w:trPr>
        <w:tc>
          <w:tcPr>
            <w:tcW w:w="5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eastAsiaTheme="minorEastAsia"/>
                <w:color w:val="000000"/>
                <w:kern w:val="0"/>
                <w:sz w:val="24"/>
                <w:lang w:eastAsia="zh-CN"/>
              </w:rPr>
            </w:pPr>
          </w:p>
        </w:tc>
        <w:tc>
          <w:tcPr>
            <w:tcW w:w="5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0</w:t>
            </w:r>
          </w:p>
        </w:tc>
        <w:tc>
          <w:tcPr>
            <w:tcW w:w="58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24"/>
              </w:rPr>
            </w:pPr>
          </w:p>
        </w:tc>
        <w:tc>
          <w:tcPr>
            <w:tcW w:w="5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0</w:t>
            </w:r>
          </w:p>
        </w:tc>
      </w:tr>
    </w:tbl>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SA"/>
        </w:rPr>
        <w:t>五、存在的主要问题及改进情况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宋体" w:eastAsia="仿宋_GB2312" w:cs="宋体"/>
          <w:color w:val="333333"/>
          <w:kern w:val="0"/>
          <w:sz w:val="32"/>
          <w:szCs w:val="32"/>
          <w:shd w:val="clear" w:color="auto" w:fill="FFFFFF"/>
          <w:lang w:val="en-US" w:eastAsia="zh-CN" w:bidi="ar-SA"/>
        </w:rPr>
      </w:pPr>
      <w:r>
        <w:rPr>
          <w:rFonts w:hint="default" w:ascii="楷体_GB2312" w:hAnsi="Calibri" w:eastAsia="楷体_GB2312" w:cs="楷体_GB2312"/>
          <w:i w:val="0"/>
          <w:caps w:val="0"/>
          <w:color w:val="333333"/>
          <w:spacing w:val="0"/>
          <w:sz w:val="32"/>
          <w:szCs w:val="32"/>
          <w:shd w:val="clear" w:fill="FFFFFF"/>
          <w:lang w:val="en-US" w:eastAsia="zh-CN"/>
        </w:rPr>
        <w:t>（一）主要问题。</w:t>
      </w:r>
      <w:r>
        <w:rPr>
          <w:rFonts w:hint="eastAsia" w:ascii="仿宋_GB2312" w:hAnsi="宋体" w:eastAsia="仿宋_GB2312" w:cs="宋体"/>
          <w:b/>
          <w:bCs/>
          <w:color w:val="333333"/>
          <w:kern w:val="0"/>
          <w:sz w:val="32"/>
          <w:szCs w:val="32"/>
          <w:shd w:val="clear" w:color="auto" w:fill="FFFFFF"/>
          <w:lang w:val="en-US" w:eastAsia="zh-CN" w:bidi="ar-SA"/>
        </w:rPr>
        <w:t>一是</w:t>
      </w:r>
      <w:r>
        <w:rPr>
          <w:rFonts w:hint="eastAsia" w:ascii="仿宋_GB2312" w:hAnsi="宋体" w:eastAsia="仿宋_GB2312" w:cs="宋体"/>
          <w:color w:val="333333"/>
          <w:kern w:val="0"/>
          <w:sz w:val="32"/>
          <w:szCs w:val="32"/>
          <w:shd w:val="clear" w:color="auto" w:fill="FFFFFF"/>
          <w:lang w:val="en-US" w:eastAsia="zh-CN" w:bidi="ar-SA"/>
        </w:rPr>
        <w:t>信息公开的意识还需进一步提高；信息公开的广度、深度还不够；扩大公众参与和主动接受社会监督还不够到位。</w:t>
      </w:r>
      <w:r>
        <w:rPr>
          <w:rFonts w:hint="eastAsia" w:ascii="仿宋_GB2312" w:hAnsi="宋体" w:eastAsia="仿宋_GB2312" w:cs="宋体"/>
          <w:b/>
          <w:bCs/>
          <w:color w:val="333333"/>
          <w:kern w:val="0"/>
          <w:sz w:val="32"/>
          <w:szCs w:val="32"/>
          <w:shd w:val="clear" w:color="auto" w:fill="FFFFFF"/>
          <w:lang w:val="en-US" w:eastAsia="zh-CN" w:bidi="ar-SA"/>
        </w:rPr>
        <w:t>二是</w:t>
      </w:r>
      <w:r>
        <w:rPr>
          <w:rFonts w:hint="eastAsia" w:ascii="仿宋_GB2312" w:hAnsi="宋体" w:eastAsia="仿宋_GB2312" w:cs="宋体"/>
          <w:color w:val="333333"/>
          <w:kern w:val="0"/>
          <w:sz w:val="32"/>
          <w:szCs w:val="32"/>
          <w:shd w:val="clear" w:color="auto" w:fill="FFFFFF"/>
          <w:lang w:val="en-US" w:eastAsia="zh-CN" w:bidi="ar-SA"/>
        </w:rPr>
        <w:t>还存在部分政务信息发布不及时、政策解读不到位、解读形式单一等问题。</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333333"/>
          <w:kern w:val="0"/>
          <w:sz w:val="32"/>
          <w:szCs w:val="32"/>
          <w:shd w:val="clear" w:color="auto" w:fill="FFFFFF"/>
          <w:lang w:val="en-US" w:eastAsia="zh-CN" w:bidi="ar-SA"/>
        </w:rPr>
      </w:pPr>
      <w:r>
        <w:rPr>
          <w:rFonts w:hint="default" w:ascii="楷体_GB2312" w:hAnsi="Calibri" w:eastAsia="楷体_GB2312" w:cs="楷体_GB2312"/>
          <w:i w:val="0"/>
          <w:caps w:val="0"/>
          <w:color w:val="333333"/>
          <w:spacing w:val="0"/>
          <w:sz w:val="32"/>
          <w:szCs w:val="32"/>
          <w:shd w:val="clear" w:fill="FFFFFF"/>
          <w:lang w:val="en-US" w:eastAsia="zh-CN"/>
        </w:rPr>
        <w:t>（二）改进措施。</w:t>
      </w:r>
      <w:r>
        <w:rPr>
          <w:rFonts w:hint="eastAsia" w:ascii="仿宋_GB2312" w:hAnsi="宋体" w:eastAsia="仿宋_GB2312" w:cs="宋体"/>
          <w:b/>
          <w:bCs/>
          <w:color w:val="333333"/>
          <w:kern w:val="0"/>
          <w:sz w:val="32"/>
          <w:szCs w:val="32"/>
          <w:shd w:val="clear" w:color="auto" w:fill="FFFFFF"/>
          <w:lang w:val="en-US" w:eastAsia="zh-CN" w:bidi="ar-SA"/>
        </w:rPr>
        <w:t>一是</w:t>
      </w:r>
      <w:r>
        <w:rPr>
          <w:rFonts w:hint="eastAsia" w:ascii="仿宋_GB2312" w:hAnsi="宋体" w:eastAsia="仿宋_GB2312" w:cs="宋体"/>
          <w:color w:val="333333"/>
          <w:kern w:val="0"/>
          <w:sz w:val="32"/>
          <w:szCs w:val="32"/>
          <w:shd w:val="clear" w:color="auto" w:fill="FFFFFF"/>
          <w:lang w:val="en-US" w:eastAsia="zh-CN" w:bidi="ar-SA"/>
        </w:rPr>
        <w:t>进一步加强组织领导。进一步理顺完善领导体制、工作机制,明确工作机构,配齐配强专职工作人员。加大组织协调、指导推进、监督检查力度,加大政务公开工作效果在科室年度考核、直属单位绩效考核中的比重,对推进政务公开不担当不作为的,视情况进行全局通报。</w:t>
      </w:r>
      <w:r>
        <w:rPr>
          <w:rFonts w:hint="eastAsia" w:ascii="仿宋_GB2312" w:hAnsi="宋体" w:eastAsia="仿宋_GB2312" w:cs="宋体"/>
          <w:b/>
          <w:bCs/>
          <w:color w:val="333333"/>
          <w:kern w:val="0"/>
          <w:sz w:val="32"/>
          <w:szCs w:val="32"/>
          <w:shd w:val="clear" w:color="auto" w:fill="FFFFFF"/>
          <w:lang w:val="en-US" w:eastAsia="zh-CN" w:bidi="ar-SA"/>
        </w:rPr>
        <w:t>二是</w:t>
      </w:r>
      <w:r>
        <w:rPr>
          <w:rFonts w:hint="eastAsia" w:ascii="仿宋_GB2312" w:hAnsi="宋体" w:eastAsia="仿宋_GB2312" w:cs="宋体"/>
          <w:color w:val="333333"/>
          <w:kern w:val="0"/>
          <w:sz w:val="32"/>
          <w:szCs w:val="32"/>
          <w:shd w:val="clear" w:color="auto" w:fill="FFFFFF"/>
          <w:lang w:val="en-US" w:eastAsia="zh-CN" w:bidi="ar-SA"/>
        </w:rPr>
        <w:t>严格落实制度规范。继续完善主动公开和依申请公开制度,规范行政决策、执行、管理、服务和结果信息公开,及时更新政府信息公开指南,完善主动公开基本目录,并动态调整更新。定期对本单位不予公开的信息进行全面自查，探索建立详细具体的政务公开负面清单,细化明确不予公开范围,及时进行调整更新。</w:t>
      </w:r>
      <w:r>
        <w:rPr>
          <w:rFonts w:hint="eastAsia" w:ascii="仿宋_GB2312" w:hAnsi="宋体" w:eastAsia="仿宋_GB2312" w:cs="宋体"/>
          <w:b/>
          <w:bCs/>
          <w:color w:val="333333"/>
          <w:kern w:val="0"/>
          <w:sz w:val="32"/>
          <w:szCs w:val="32"/>
          <w:shd w:val="clear" w:color="auto" w:fill="FFFFFF"/>
          <w:lang w:val="en-US" w:eastAsia="zh-CN" w:bidi="ar-SA"/>
        </w:rPr>
        <w:t>三是</w:t>
      </w:r>
      <w:r>
        <w:rPr>
          <w:rFonts w:hint="eastAsia" w:ascii="仿宋_GB2312" w:hAnsi="宋体" w:eastAsia="仿宋_GB2312" w:cs="宋体"/>
          <w:color w:val="333333"/>
          <w:kern w:val="0"/>
          <w:sz w:val="32"/>
          <w:szCs w:val="32"/>
          <w:shd w:val="clear" w:color="auto" w:fill="FFFFFF"/>
          <w:lang w:val="en-US" w:eastAsia="zh-CN" w:bidi="ar-SA"/>
        </w:rPr>
        <w:t>强化监督评价。按照市政府办公室统一安排部署,对中共中央办公厅、国务院办公厅《关于全面推进政务公开工作的意见》及其实施细则安排部署的各项工作进行“回头看”,逐项对照自查落实情况。将政务公开培训列入全局干部业务能力提升培训内容,切实提升工作能力和水平。</w:t>
      </w:r>
      <w:r>
        <w:rPr>
          <w:rFonts w:hint="eastAsia" w:ascii="仿宋_GB2312" w:hAnsi="宋体" w:eastAsia="仿宋_GB2312" w:cs="宋体"/>
          <w:b/>
          <w:bCs/>
          <w:color w:val="333333"/>
          <w:kern w:val="0"/>
          <w:sz w:val="32"/>
          <w:szCs w:val="32"/>
          <w:shd w:val="clear" w:color="auto" w:fill="FFFFFF"/>
          <w:lang w:val="en-US" w:eastAsia="zh-CN" w:bidi="ar-SA"/>
        </w:rPr>
        <w:t>四是</w:t>
      </w:r>
      <w:r>
        <w:rPr>
          <w:rFonts w:hint="eastAsia" w:ascii="仿宋_GB2312" w:hAnsi="宋体" w:eastAsia="仿宋_GB2312" w:cs="宋体"/>
          <w:color w:val="333333"/>
          <w:kern w:val="0"/>
          <w:sz w:val="32"/>
          <w:szCs w:val="32"/>
          <w:shd w:val="clear" w:color="auto" w:fill="FFFFFF"/>
          <w:lang w:val="en-US" w:eastAsia="zh-CN" w:bidi="ar-SA"/>
        </w:rPr>
        <w:t>强化经验交流。注重总结提炼政务公开工作经验,特别是政策解读、政务服务、开门决策、行风建设方面的创新举措,依托“聊城人社”微信公众号进行广泛宣传,择优向国家、省级平台投稿,树立人社部门好形象,提升人社工作公信力。</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SA"/>
        </w:rPr>
        <w:t>六、其他需要报告的事项</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333333"/>
          <w:kern w:val="0"/>
          <w:sz w:val="32"/>
          <w:szCs w:val="32"/>
          <w:shd w:val="clear" w:color="auto" w:fill="FFFFFF"/>
          <w:lang w:val="en-US" w:eastAsia="zh-CN" w:bidi="ar-SA"/>
        </w:rPr>
      </w:pPr>
      <w:r>
        <w:rPr>
          <w:rFonts w:hint="eastAsia" w:ascii="仿宋_GB2312" w:hAnsi="宋体" w:eastAsia="仿宋_GB2312" w:cs="宋体"/>
          <w:color w:val="333333"/>
          <w:kern w:val="0"/>
          <w:sz w:val="32"/>
          <w:szCs w:val="32"/>
          <w:shd w:val="clear" w:color="auto" w:fill="FFFFFF"/>
          <w:lang w:val="en-US" w:eastAsia="zh-CN" w:bidi="ar-SA"/>
        </w:rPr>
        <w:t>无</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333333"/>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333333"/>
          <w:kern w:val="0"/>
          <w:sz w:val="32"/>
          <w:szCs w:val="32"/>
          <w:shd w:val="clear" w:color="auto" w:fill="FFFFFF"/>
          <w:lang w:val="en-US" w:eastAsia="zh-CN" w:bidi="ar-SA"/>
        </w:rPr>
      </w:pPr>
    </w:p>
    <w:p>
      <w:pPr>
        <w:keepNext w:val="0"/>
        <w:keepLines w:val="0"/>
        <w:pageBreakBefore w:val="0"/>
        <w:kinsoku/>
        <w:wordWrap w:val="0"/>
        <w:overflowPunct/>
        <w:topLinePunct w:val="0"/>
        <w:autoSpaceDE/>
        <w:autoSpaceDN/>
        <w:bidi w:val="0"/>
        <w:adjustRightInd/>
        <w:snapToGrid/>
        <w:spacing w:line="240" w:lineRule="auto"/>
        <w:ind w:firstLine="640" w:firstLineChars="200"/>
        <w:jc w:val="right"/>
        <w:textAlignment w:val="auto"/>
        <w:rPr>
          <w:rFonts w:hint="default" w:ascii="仿宋_GB2312" w:hAnsi="宋体" w:eastAsia="仿宋_GB2312" w:cs="宋体"/>
          <w:color w:val="333333"/>
          <w:kern w:val="0"/>
          <w:sz w:val="32"/>
          <w:szCs w:val="32"/>
          <w:shd w:val="clear" w:color="auto" w:fill="FFFFFF"/>
          <w:lang w:val="en-US" w:eastAsia="zh-CN" w:bidi="ar-SA"/>
        </w:rPr>
      </w:pPr>
      <w:r>
        <w:rPr>
          <w:rFonts w:hint="eastAsia" w:ascii="仿宋_GB2312" w:hAnsi="宋体" w:eastAsia="仿宋_GB2312" w:cs="宋体"/>
          <w:color w:val="333333"/>
          <w:kern w:val="0"/>
          <w:sz w:val="32"/>
          <w:szCs w:val="32"/>
          <w:shd w:val="clear" w:color="auto" w:fill="FFFFFF"/>
          <w:lang w:val="en-US" w:eastAsia="zh-CN" w:bidi="ar-SA"/>
        </w:rPr>
        <w:t xml:space="preserve">聊城市人力资源和社会保障局  </w:t>
      </w:r>
    </w:p>
    <w:p>
      <w:pPr>
        <w:keepNext w:val="0"/>
        <w:keepLines w:val="0"/>
        <w:pageBreakBefore w:val="0"/>
        <w:kinsoku/>
        <w:wordWrap w:val="0"/>
        <w:overflowPunct/>
        <w:topLinePunct w:val="0"/>
        <w:autoSpaceDE/>
        <w:autoSpaceDN/>
        <w:bidi w:val="0"/>
        <w:adjustRightInd/>
        <w:snapToGrid/>
        <w:spacing w:line="240" w:lineRule="auto"/>
        <w:ind w:firstLine="640" w:firstLineChars="200"/>
        <w:jc w:val="right"/>
        <w:textAlignment w:val="auto"/>
        <w:rPr>
          <w:rFonts w:hint="eastAsia" w:ascii="仿宋_GB2312" w:hAnsi="宋体" w:eastAsia="仿宋_GB2312" w:cs="宋体"/>
          <w:color w:val="333333"/>
          <w:kern w:val="0"/>
          <w:sz w:val="32"/>
          <w:szCs w:val="32"/>
          <w:shd w:val="clear" w:color="auto" w:fill="FFFFFF"/>
          <w:lang w:val="en-US" w:eastAsia="zh-CN" w:bidi="ar-SA"/>
        </w:rPr>
      </w:pPr>
      <w:r>
        <w:rPr>
          <w:rFonts w:hint="eastAsia" w:ascii="仿宋_GB2312" w:hAnsi="宋体" w:eastAsia="仿宋_GB2312" w:cs="宋体"/>
          <w:color w:val="333333"/>
          <w:kern w:val="0"/>
          <w:sz w:val="32"/>
          <w:szCs w:val="32"/>
          <w:shd w:val="clear" w:color="auto" w:fill="FFFFFF"/>
          <w:lang w:val="en-US" w:eastAsia="zh-CN" w:bidi="ar-SA"/>
        </w:rPr>
        <w:t xml:space="preserve">2021年1月26日      </w:t>
      </w:r>
    </w:p>
    <w:sectPr>
      <w:footerReference r:id="rId3" w:type="default"/>
      <w:pgSz w:w="11906" w:h="16838"/>
      <w:pgMar w:top="1984"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M2QyMjYwYTRjMjQxNWUzNzRkOTEwMWU4YzllODAifQ=="/>
  </w:docVars>
  <w:rsids>
    <w:rsidRoot w:val="00000000"/>
    <w:rsid w:val="054F7BC3"/>
    <w:rsid w:val="09DA2086"/>
    <w:rsid w:val="0EB52C45"/>
    <w:rsid w:val="13FD2BDF"/>
    <w:rsid w:val="15C05648"/>
    <w:rsid w:val="196A11F8"/>
    <w:rsid w:val="259E2E48"/>
    <w:rsid w:val="2DD85222"/>
    <w:rsid w:val="3C237AB3"/>
    <w:rsid w:val="442E08BE"/>
    <w:rsid w:val="5B8925B6"/>
    <w:rsid w:val="6F2A7B8F"/>
    <w:rsid w:val="6F7D5F38"/>
    <w:rsid w:val="7A4F66C8"/>
    <w:rsid w:val="7EDD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3334</Words>
  <Characters>3420</Characters>
  <Lines>0</Lines>
  <Paragraphs>0</Paragraphs>
  <TotalTime>109</TotalTime>
  <ScaleCrop>false</ScaleCrop>
  <LinksUpToDate>false</LinksUpToDate>
  <CharactersWithSpaces>3428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2020-01-29T09:30:00Z</dcterms:created>
  <dc:creator>Administrator</dc:creator>
  <cp:lastModifiedBy>Rowi</cp:lastModifiedBy>
  <cp:lastPrinted>2021-01-27T07:09:00Z</cp:lastPrinted>
  <dcterms:modified xsi:type="dcterms:W3CDTF">2023-06-28T07:24:28Z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116E2279841D48A1A474CC6370673830_12</vt:lpwstr>
  </property>
</Properties>
</file>